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3338adf5fa21c927dfe97c1509c33d88d640211"/>
    <w:p>
      <w:pPr>
        <w:pStyle w:val="Heading1"/>
      </w:pPr>
      <w:r>
        <w:t xml:space="preserve">OPOSICIÓN A MEDIDA CAUTELAR DE SUSPENSIÓN PROVISIONAL DE ACUERDOS</w:t>
      </w:r>
    </w:p>
    <w:p>
      <w:pPr>
        <w:pStyle w:val="FirstParagraph"/>
      </w:pPr>
      <w:r>
        <w:rPr>
          <w:b/>
          <w:bCs/>
        </w:rPr>
        <w:t xml:space="preserve">EXPEDIENTE:</w:t>
      </w:r>
      <w:r>
        <w:t xml:space="preserve"> </w:t>
      </w:r>
      <w:r>
        <w:t xml:space="preserve">26-000076-1632-CI</w:t>
      </w:r>
    </w:p>
    <w:p>
      <w:pPr>
        <w:pStyle w:val="BodyText"/>
      </w:pPr>
      <w:r>
        <w:rPr>
          <w:b/>
          <w:bCs/>
        </w:rPr>
        <w:t xml:space="preserve">TRIBUNAL COLEGIADO DE PRIMERA INSTANCIA CIVIL DEL II CIRCUITO JUDICIAL DE GUANACASTE (NICOYA)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Proceso:</w:t>
      </w:r>
      <w:r>
        <w:t xml:space="preserve"> </w:t>
      </w:r>
      <w:r>
        <w:t xml:space="preserve">Medida Cautelar - Suspensión Provisional de Acuerdos Condominales</w:t>
      </w:r>
    </w:p>
    <w:p>
      <w:pPr>
        <w:pStyle w:val="BodyText"/>
      </w:pPr>
      <w:r>
        <w:rPr>
          <w:b/>
          <w:bCs/>
        </w:rPr>
        <w:t xml:space="preserve">Actores:</w:t>
      </w:r>
      <w:r>
        <w:t xml:space="preserve"> </w:t>
      </w:r>
      <w:r>
        <w:t xml:space="preserve">- Gratum Nosara S.R.L.</w:t>
      </w:r>
      <w:r>
        <w:t xml:space="preserve"> </w:t>
      </w:r>
      <w:r>
        <w:t xml:space="preserve">- Rancho Azul Guzmán Limitada</w:t>
      </w:r>
      <w:r>
        <w:t xml:space="preserve"> </w:t>
      </w:r>
      <w:r>
        <w:t xml:space="preserve">- Rancho Verde Riabov S.R.L.</w:t>
      </w:r>
      <w:r>
        <w:t xml:space="preserve"> </w:t>
      </w:r>
      <w:r>
        <w:t xml:space="preserve">- Propiedades y Terrenos Terrazas del Arco Iris Limitada</w:t>
      </w:r>
    </w:p>
    <w:p>
      <w:pPr>
        <w:pStyle w:val="BodyText"/>
      </w:pPr>
      <w:r>
        <w:rPr>
          <w:b/>
          <w:bCs/>
        </w:rPr>
        <w:t xml:space="preserve">Demandada:</w:t>
      </w:r>
      <w:r>
        <w:t xml:space="preserve"> </w:t>
      </w:r>
      <w:r>
        <w:t xml:space="preserve">Condominio Mar Azul, representado por Admin Mar Azul Nosara S.R.L.</w:t>
      </w:r>
    </w:p>
    <w:p>
      <w:r>
        <w:pict>
          <v:rect style="width:0;height:1.5pt" o:hralign="center" o:hrstd="t" o:hr="t"/>
        </w:pict>
      </w:r>
    </w:p>
    <w:bookmarkStart w:id="9" w:name="X8184f128e4855380328c953bc62e07e680aaa33"/>
    <w:p>
      <w:pPr>
        <w:pStyle w:val="Heading2"/>
      </w:pPr>
      <w:r>
        <w:t xml:space="preserve">CONTESTACIÓN Y OPOSICIÓN A SOLICITUD DE MEDIDA CAUTELAR</w:t>
      </w:r>
    </w:p>
    <w:p>
      <w:pPr>
        <w:pStyle w:val="FirstParagraph"/>
      </w:pPr>
      <w:r>
        <w:t xml:space="preserve">Quien suscribe, en representación de</w:t>
      </w:r>
      <w:r>
        <w:t xml:space="preserve"> </w:t>
      </w:r>
      <w:r>
        <w:rPr>
          <w:b/>
          <w:bCs/>
        </w:rPr>
        <w:t xml:space="preserve">ADMIN MAR AZUL NOSARA S.R.L.</w:t>
      </w:r>
      <w:r>
        <w:t xml:space="preserve">, cédula jurídica 3-102-892782, en calidad de administradora del</w:t>
      </w:r>
      <w:r>
        <w:t xml:space="preserve"> </w:t>
      </w:r>
      <w:r>
        <w:rPr>
          <w:b/>
          <w:bCs/>
        </w:rPr>
        <w:t xml:space="preserve">CONDOMINIO MAR AZUL</w:t>
      </w:r>
      <w:r>
        <w:t xml:space="preserve">, cédula jurídica 3-109-895251, respetuosamente me opongo a la solicitud de medida cautelar y manifiesto:</w:t>
      </w:r>
    </w:p>
    <w:p>
      <w:r>
        <w:pict>
          <v:rect style="width:0;height:1.5pt" o:hralign="center" o:hrstd="t" o:hr="t"/>
        </w:pict>
      </w:r>
    </w:p>
    <w:bookmarkEnd w:id="9"/>
    <w:bookmarkStart w:id="13" w:name="X029704127cefff45840ce5def97035a6402e403"/>
    <w:p>
      <w:pPr>
        <w:pStyle w:val="Heading2"/>
      </w:pPr>
      <w:r>
        <w:t xml:space="preserve">I. EXCEPCIÓN PREVIA: NULIDAD DE NOTIFICACIÓN</w:t>
      </w:r>
    </w:p>
    <w:bookmarkStart w:id="10" w:name="a.-hechos-de-la-notificación-defectuosa"/>
    <w:p>
      <w:pPr>
        <w:pStyle w:val="Heading3"/>
      </w:pPr>
      <w:r>
        <w:t xml:space="preserve">A. Hechos de la Notificación Defectuosa</w:t>
      </w:r>
    </w:p>
    <w:p>
      <w:pPr>
        <w:numPr>
          <w:ilvl w:val="0"/>
          <w:numId w:val="1001"/>
        </w:numPr>
      </w:pPr>
      <w:r>
        <w:t xml:space="preserve">El día 17 de mayo de 2026, el Notario Público Diego Oporto Mejía se presentó en el Restaurante La Luna, ubicado en Playa Pelada, Nosara.</w:t>
      </w:r>
    </w:p>
    <w:p>
      <w:pPr>
        <w:numPr>
          <w:ilvl w:val="0"/>
          <w:numId w:val="1001"/>
        </w:numPr>
      </w:pPr>
      <w:r>
        <w:t xml:space="preserve">La representante legal de Admin Mar Azul Nosara S.R.L., señora</w:t>
      </w:r>
      <w:r>
        <w:t xml:space="preserve"> </w:t>
      </w:r>
      <w:r>
        <w:rPr>
          <w:b/>
          <w:bCs/>
        </w:rPr>
        <w:t xml:space="preserve">ANGELA VAILA FRASER RUSSEL</w:t>
      </w:r>
      <w:r>
        <w:t xml:space="preserve">, cédula 5-0304-0654,</w:t>
      </w:r>
      <w:r>
        <w:t xml:space="preserve"> </w:t>
      </w:r>
      <w:r>
        <w:rPr>
          <w:b/>
          <w:bCs/>
        </w:rPr>
        <w:t xml:space="preserve">NO se encontraba presente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Trabajadores del establecimiento informaron al notario que la señora Angela no estaba disponible.</w:t>
      </w:r>
    </w:p>
    <w:p>
      <w:pPr>
        <w:numPr>
          <w:ilvl w:val="0"/>
          <w:numId w:val="1001"/>
        </w:numPr>
      </w:pPr>
      <w:r>
        <w:t xml:space="preserve">El notario, en lugar de programar una nueva visita o notificar a persona autorizada conforme a ley,</w:t>
      </w:r>
      <w:r>
        <w:t xml:space="preserve"> </w:t>
      </w:r>
      <w:r>
        <w:rPr>
          <w:b/>
          <w:bCs/>
        </w:rPr>
        <w:t xml:space="preserve">reaccionó con molestia, arrojó los documentos sobre una mesa y se retiró del lugar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Ninguna persona recibió formalmente</w:t>
      </w:r>
      <w:r>
        <w:t xml:space="preserve"> </w:t>
      </w:r>
      <w:r>
        <w:t xml:space="preserve">los documentos judiciales.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Ninguna persona firmó</w:t>
      </w:r>
      <w:r>
        <w:t xml:space="preserve"> </w:t>
      </w:r>
      <w:r>
        <w:t xml:space="preserve">constancia de recibo.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Tres (3) testigos presenciales</w:t>
      </w:r>
      <w:r>
        <w:t xml:space="preserve"> </w:t>
      </w:r>
      <w:r>
        <w:t xml:space="preserve">pueden declarar estos hechos bajo juramento.</w:t>
      </w:r>
    </w:p>
    <w:p>
      <w:pPr>
        <w:numPr>
          <w:ilvl w:val="0"/>
          <w:numId w:val="1001"/>
        </w:numPr>
      </w:pPr>
      <w:r>
        <w:t xml:space="preserve">La parte demandada tuvo conocimiento de este proceso</w:t>
      </w:r>
      <w:r>
        <w:t xml:space="preserve"> </w:t>
      </w:r>
      <w:r>
        <w:rPr>
          <w:b/>
          <w:bCs/>
        </w:rPr>
        <w:t xml:space="preserve">únicamente por consulta directa al expediente judicial</w:t>
      </w:r>
      <w:r>
        <w:t xml:space="preserve">, NO por notificación válida.</w:t>
      </w:r>
    </w:p>
    <w:bookmarkEnd w:id="10"/>
    <w:bookmarkStart w:id="11" w:name="b.-fundamento-jurídico-de-la-nulidad"/>
    <w:p>
      <w:pPr>
        <w:pStyle w:val="Heading3"/>
      </w:pPr>
      <w:r>
        <w:t xml:space="preserve">B. Fundamento Jurídico de la Nulidad</w:t>
      </w:r>
    </w:p>
    <w:p>
      <w:pPr>
        <w:pStyle w:val="FirstParagraph"/>
      </w:pPr>
      <w:r>
        <w:t xml:space="preserve">La Ley de Notificaciones Judiciales N° 8687 establece: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Artículo 29:</w:t>
      </w:r>
      <w:r>
        <w:t xml:space="preserve"> </w:t>
      </w:r>
      <w:r>
        <w:t xml:space="preserve">Las notificaciones personales requieren entrega efectiva a la persona interesada.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Artículo 31:</w:t>
      </w:r>
      <w:r>
        <w:t xml:space="preserve"> </w:t>
      </w:r>
      <w:r>
        <w:t xml:space="preserve">Para personas jurídicas, debe notificarse al representante legal o persona autorizada.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Artículo 33:</w:t>
      </w:r>
      <w:r>
        <w:t xml:space="preserve"> </w:t>
      </w:r>
      <w:r>
        <w:t xml:space="preserve">Debe dejarse constancia con nombre, calidades y</w:t>
      </w:r>
      <w:r>
        <w:t xml:space="preserve"> </w:t>
      </w:r>
      <w:r>
        <w:rPr>
          <w:b/>
          <w:bCs/>
        </w:rPr>
        <w:t xml:space="preserve">firma</w:t>
      </w:r>
      <w:r>
        <w:t xml:space="preserve"> </w:t>
      </w:r>
      <w:r>
        <w:t xml:space="preserve">de quien recibe.</w:t>
      </w:r>
    </w:p>
    <w:p>
      <w:pPr>
        <w:pStyle w:val="FirstParagraph"/>
      </w:pPr>
      <w:r>
        <w:t xml:space="preserve">El acto de arrojar documentos sobre una mesa y retirarse</w:t>
      </w:r>
      <w:r>
        <w:t xml:space="preserve"> </w:t>
      </w:r>
      <w:r>
        <w:rPr>
          <w:b/>
          <w:bCs/>
        </w:rPr>
        <w:t xml:space="preserve">NO constituye notificación válida</w:t>
      </w:r>
      <w:r>
        <w:t xml:space="preserve">.</w:t>
      </w:r>
    </w:p>
    <w:bookmarkEnd w:id="11"/>
    <w:bookmarkStart w:id="12" w:name="c.-consecuencias-jurídicas"/>
    <w:p>
      <w:pPr>
        <w:pStyle w:val="Heading3"/>
      </w:pPr>
      <w:r>
        <w:t xml:space="preserve">C. Consecuencias Jurídicas</w:t>
      </w:r>
    </w:p>
    <w:p>
      <w:pPr>
        <w:pStyle w:val="Compact"/>
        <w:numPr>
          <w:ilvl w:val="0"/>
          <w:numId w:val="1003"/>
        </w:numPr>
      </w:pPr>
      <w:r>
        <w:t xml:space="preserve">El plazo de tres (3) días otorgado nunca comenzó a correr</w:t>
      </w:r>
    </w:p>
    <w:p>
      <w:pPr>
        <w:pStyle w:val="Compact"/>
        <w:numPr>
          <w:ilvl w:val="0"/>
          <w:numId w:val="1003"/>
        </w:numPr>
      </w:pPr>
      <w:r>
        <w:t xml:space="preserve">No puede alegarse</w:t>
      </w:r>
      <w:r>
        <w:t xml:space="preserve"> </w:t>
      </w:r>
      <w:r>
        <w:t xml:space="preserve">“falta de oposición”</w:t>
      </w:r>
      <w:r>
        <w:t xml:space="preserve"> </w:t>
      </w:r>
      <w:r>
        <w:t xml:space="preserve">bajo el Artículo 96 CPC</w:t>
      </w:r>
    </w:p>
    <w:p>
      <w:pPr>
        <w:pStyle w:val="Compact"/>
        <w:numPr>
          <w:ilvl w:val="0"/>
          <w:numId w:val="1003"/>
        </w:numPr>
      </w:pPr>
      <w:r>
        <w:t xml:space="preserve">La solicitud del 21 de mayo de 2026 es</w:t>
      </w:r>
      <w:r>
        <w:t xml:space="preserve"> </w:t>
      </w:r>
      <w:r>
        <w:rPr>
          <w:b/>
          <w:bCs/>
        </w:rPr>
        <w:t xml:space="preserve">improcedente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 solicita declarar la NULIDAD de la notificación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1" w:name="Xb1a8f190cd7c06b4efb68f20d4328c84d2c2a4d"/>
    <w:p>
      <w:pPr>
        <w:pStyle w:val="Heading2"/>
      </w:pPr>
      <w:r>
        <w:t xml:space="preserve">II. OPOSICIÓN AL FONDO: LA ASAMBLEA DEL 9 DE MARZO DE 2026 FUE VÁLIDA</w:t>
      </w:r>
    </w:p>
    <w:p>
      <w:pPr>
        <w:pStyle w:val="FirstParagraph"/>
      </w:pPr>
      <w:r>
        <w:t xml:space="preserve">Sin perjuicio de la nulidad de notificación alegada, y en ejercicio pleno del derecho de defensa, nos oponemos a la medida cautelar por las siguientes razones:</w:t>
      </w:r>
    </w:p>
    <w:bookmarkStart w:id="17" w:name="X2d714d40cbe2cf2e6a5e39254b734ddef2b2bf1"/>
    <w:p>
      <w:pPr>
        <w:pStyle w:val="Heading3"/>
      </w:pPr>
      <w:r>
        <w:t xml:space="preserve">A. LA ASAMBLEA CUMPLIÓ TODOS LOS REQUISITOS LEGALES</w:t>
      </w:r>
    </w:p>
    <w:bookmarkStart w:id="14" w:name="convocatoria-debida"/>
    <w:p>
      <w:pPr>
        <w:pStyle w:val="Heading4"/>
      </w:pPr>
      <w:r>
        <w:t xml:space="preserve">1. Convocatoria Debida</w:t>
      </w:r>
    </w:p>
    <w:p>
      <w:pPr>
        <w:pStyle w:val="Compact"/>
        <w:numPr>
          <w:ilvl w:val="0"/>
          <w:numId w:val="1004"/>
        </w:numPr>
      </w:pPr>
      <w:r>
        <w:t xml:space="preserve">Convocatoria emitida el</w:t>
      </w:r>
      <w:r>
        <w:t xml:space="preserve"> </w:t>
      </w:r>
      <w:r>
        <w:rPr>
          <w:b/>
          <w:bCs/>
        </w:rPr>
        <w:t xml:space="preserve">19 de febrero de 2026</w:t>
      </w:r>
    </w:p>
    <w:p>
      <w:pPr>
        <w:pStyle w:val="Compact"/>
        <w:numPr>
          <w:ilvl w:val="0"/>
          <w:numId w:val="1004"/>
        </w:numPr>
      </w:pPr>
      <w:r>
        <w:t xml:space="preserve">Asamblea celebrada el</w:t>
      </w:r>
      <w:r>
        <w:t xml:space="preserve"> </w:t>
      </w:r>
      <w:r>
        <w:rPr>
          <w:b/>
          <w:bCs/>
        </w:rPr>
        <w:t xml:space="preserve">9 de marzo de 2026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18 días de anticipación</w:t>
      </w:r>
      <w:r>
        <w:t xml:space="preserve"> </w:t>
      </w:r>
      <w:r>
        <w:t xml:space="preserve">(el reglamento requiere 7 días)</w:t>
      </w:r>
    </w:p>
    <w:p>
      <w:pPr>
        <w:pStyle w:val="Compact"/>
        <w:numPr>
          <w:ilvl w:val="0"/>
          <w:numId w:val="1004"/>
        </w:numPr>
      </w:pPr>
      <w:r>
        <w:t xml:space="preserve">Agenda claramente detallada con todos los puntos a tratar</w:t>
      </w:r>
    </w:p>
    <w:bookmarkEnd w:id="14"/>
    <w:bookmarkStart w:id="15" w:name="quórum-del-100"/>
    <w:p>
      <w:pPr>
        <w:pStyle w:val="Heading4"/>
      </w:pPr>
      <w:r>
        <w:t xml:space="preserve">2. Quórum del 100%</w:t>
      </w:r>
    </w:p>
    <w:p>
      <w:pPr>
        <w:pStyle w:val="Compact"/>
        <w:numPr>
          <w:ilvl w:val="0"/>
          <w:numId w:val="1005"/>
        </w:numPr>
      </w:pPr>
      <w:r>
        <w:t xml:space="preserve">Todas las 36 fincas filiales estuvieron presentes o representadas</w:t>
      </w:r>
    </w:p>
    <w:p>
      <w:pPr>
        <w:pStyle w:val="Compact"/>
        <w:numPr>
          <w:ilvl w:val="0"/>
          <w:numId w:val="1005"/>
        </w:numPr>
      </w:pPr>
      <w:r>
        <w:t xml:space="preserve">Las propias sociedades actoras participaron a través de sus apoderados:</w:t>
      </w:r>
    </w:p>
    <w:p>
      <w:pPr>
        <w:pStyle w:val="Compact"/>
        <w:numPr>
          <w:ilvl w:val="1"/>
          <w:numId w:val="1006"/>
        </w:numPr>
      </w:pPr>
      <w:r>
        <w:t xml:space="preserve">Lic. Luis Guillermo Alfaro Vargas (Filiales 1 y 4)</w:t>
      </w:r>
    </w:p>
    <w:p>
      <w:pPr>
        <w:pStyle w:val="Compact"/>
        <w:numPr>
          <w:ilvl w:val="1"/>
          <w:numId w:val="1006"/>
        </w:numPr>
      </w:pPr>
      <w:r>
        <w:t xml:space="preserve">Lic. Roberto Castillo (Filiales 20 y 32)</w:t>
      </w:r>
    </w:p>
    <w:bookmarkEnd w:id="15"/>
    <w:bookmarkStart w:id="16" w:name="votación-democrática"/>
    <w:p>
      <w:pPr>
        <w:pStyle w:val="Heading4"/>
      </w:pPr>
      <w:r>
        <w:t xml:space="preserve">3. Votación Democrática</w:t>
      </w:r>
    </w:p>
    <w:p>
      <w:pPr>
        <w:pStyle w:val="Compact"/>
        <w:numPr>
          <w:ilvl w:val="0"/>
          <w:numId w:val="1007"/>
        </w:numPr>
      </w:pPr>
      <w:r>
        <w:t xml:space="preserve">Acuerdos aprobados con</w:t>
      </w:r>
      <w:r>
        <w:t xml:space="preserve"> </w:t>
      </w:r>
      <w:r>
        <w:rPr>
          <w:b/>
          <w:bCs/>
        </w:rPr>
        <w:t xml:space="preserve">83.49%</w:t>
      </w:r>
      <w:r>
        <w:t xml:space="preserve"> </w:t>
      </w:r>
      <w:r>
        <w:t xml:space="preserve">de los votos</w:t>
      </w:r>
    </w:p>
    <w:p>
      <w:pPr>
        <w:pStyle w:val="Compact"/>
        <w:numPr>
          <w:ilvl w:val="0"/>
          <w:numId w:val="1007"/>
        </w:numPr>
      </w:pPr>
      <w:r>
        <w:t xml:space="preserve">Los actores votaron en contra con solo</w:t>
      </w:r>
      <w:r>
        <w:t xml:space="preserve"> </w:t>
      </w:r>
      <w:r>
        <w:rPr>
          <w:b/>
          <w:bCs/>
        </w:rPr>
        <w:t xml:space="preserve">16.51%</w:t>
      </w:r>
    </w:p>
    <w:p>
      <w:pPr>
        <w:pStyle w:val="Compact"/>
        <w:numPr>
          <w:ilvl w:val="0"/>
          <w:numId w:val="1007"/>
        </w:numPr>
      </w:pPr>
      <w:r>
        <w:t xml:space="preserve">Perdieron democráticamente</w:t>
      </w:r>
    </w:p>
    <w:bookmarkEnd w:id="16"/>
    <w:bookmarkEnd w:id="17"/>
    <w:bookmarkStart w:id="18" w:name="X1afbacb1efc23a3b3be3165d62e411b1b0c16c1"/>
    <w:p>
      <w:pPr>
        <w:pStyle w:val="Heading3"/>
      </w:pPr>
      <w:r>
        <w:t xml:space="preserve">B. SE CUMPLIÓ CON EL ARTÍCULO 27 DE LA LEY DE PROPIEDAD EN CONDOMINIO</w:t>
      </w:r>
    </w:p>
    <w:p>
      <w:pPr>
        <w:pStyle w:val="FirstParagraph"/>
      </w:pPr>
      <w:r>
        <w:t xml:space="preserve">Los actores alegan incumplimiento del Artículo 27, inciso b), párrafo 7, que requiere para reformas al reglamento:</w:t>
      </w:r>
      <w:r>
        <w:t xml:space="preserve"> </w:t>
      </w:r>
      <w:r>
        <w:t xml:space="preserve">- Mayoría de las filiales del desarrollador, Y</w:t>
      </w:r>
      <w:r>
        <w:t xml:space="preserve"> </w:t>
      </w:r>
      <w:r>
        <w:t xml:space="preserve">- Al menos 50% de las filiales que NO pertenecen al desarrollador</w:t>
      </w:r>
    </w:p>
    <w:p>
      <w:pPr>
        <w:pStyle w:val="BodyText"/>
      </w:pPr>
      <w:r>
        <w:rPr>
          <w:b/>
          <w:bCs/>
        </w:rPr>
        <w:t xml:space="preserve">RESULTADO DE LA VOTACIÓN: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Categoría</w:t>
            </w:r>
          </w:p>
        </w:tc>
        <w:tc>
          <w:tcPr/>
          <w:p>
            <w:pPr>
              <w:pStyle w:val="Compact"/>
            </w:pPr>
            <w:r>
              <w:t xml:space="preserve">Porcentaje del Condominio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Filiales no-desarrollador</w:t>
            </w:r>
          </w:p>
        </w:tc>
        <w:tc>
          <w:tcPr/>
          <w:p>
            <w:pPr>
              <w:pStyle w:val="Compact"/>
            </w:pPr>
            <w:r>
              <w:t xml:space="preserve">33.60% del valor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50% de ese grupo requerido</w:t>
            </w:r>
          </w:p>
        </w:tc>
        <w:tc>
          <w:tcPr/>
          <w:p>
            <w:pPr>
              <w:pStyle w:val="Compact"/>
            </w:pPr>
            <w:r>
              <w:t xml:space="preserve">16.80%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Votos a favor de no-desarrollador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17.09%</w:t>
            </w:r>
          </w:p>
        </w:tc>
      </w:tr>
    </w:tbl>
    <w:p>
      <w:pPr>
        <w:pStyle w:val="BodyText"/>
      </w:pPr>
      <w:r>
        <w:rPr>
          <w:b/>
          <w:bCs/>
        </w:rPr>
        <w:t xml:space="preserve">EL REQUISITO LEGAL SE CUMPLIÓ</w:t>
      </w:r>
      <w:r>
        <w:t xml:space="preserve"> </w:t>
      </w:r>
      <w:r>
        <w:t xml:space="preserve">— 17.09% &gt; 16.80% requerido.</w:t>
      </w:r>
    </w:p>
    <w:bookmarkEnd w:id="18"/>
    <w:bookmarkStart w:id="19" w:name="X1870f123712b928e6d4198f52e965c6f1bbdde2"/>
    <w:p>
      <w:pPr>
        <w:pStyle w:val="Heading3"/>
      </w:pPr>
      <w:r>
        <w:t xml:space="preserve">C. LAS OBJECIONES DE LOS ACTORES FUERON ATENDIDAS EN LA ASAMBLEA</w:t>
      </w:r>
    </w:p>
    <w:p>
      <w:pPr>
        <w:pStyle w:val="FirstParagraph"/>
      </w:pPr>
      <w:r>
        <w:t xml:space="preserve">Durante la asamblea, los actores objetaron la redacción de los artículos 6.7 y 6.9 del reglamento por supuestamente</w:t>
      </w:r>
      <w:r>
        <w:t xml:space="preserve"> </w:t>
      </w:r>
      <w:r>
        <w:t xml:space="preserve">“favorecer al desarrollador”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La asamblea ACEPTÓ su objeción</w:t>
      </w:r>
      <w:r>
        <w:t xml:space="preserve"> </w:t>
      </w:r>
      <w:r>
        <w:t xml:space="preserve">y modificó la redacción en tiempo real, eliminando la frase</w:t>
      </w:r>
      <w:r>
        <w:t xml:space="preserve"> </w:t>
      </w:r>
      <w:r>
        <w:t xml:space="preserve">“que no sean del Desarrollador”</w:t>
      </w:r>
      <w:r>
        <w:t xml:space="preserve"> </w:t>
      </w:r>
      <w:r>
        <w:t xml:space="preserve">para que las reglas aplicaran igualmente a todas las filiales según su estado de construcción.</w:t>
      </w:r>
    </w:p>
    <w:p>
      <w:pPr>
        <w:pStyle w:val="BodyText"/>
      </w:pPr>
      <w:r>
        <w:rPr>
          <w:b/>
          <w:bCs/>
        </w:rPr>
        <w:t xml:space="preserve">A pesar de que su propia objeción fue incorporada, votaron en contra.</w:t>
      </w:r>
    </w:p>
    <w:bookmarkEnd w:id="19"/>
    <w:bookmarkStart w:id="20" w:name="d.-doctrina-de-los-actos-propios"/>
    <w:p>
      <w:pPr>
        <w:pStyle w:val="Heading3"/>
      </w:pPr>
      <w:r>
        <w:t xml:space="preserve">D. DOCTRINA DE LOS ACTOS PROPIOS</w:t>
      </w:r>
    </w:p>
    <w:p>
      <w:pPr>
        <w:pStyle w:val="FirstParagraph"/>
      </w:pPr>
      <w:r>
        <w:t xml:space="preserve">Los actores:</w:t>
      </w:r>
      <w:r>
        <w:t xml:space="preserve"> </w:t>
      </w:r>
      <w:r>
        <w:t xml:space="preserve">1. Participaron plenamente en la asamblea</w:t>
      </w:r>
      <w:r>
        <w:t xml:space="preserve"> </w:t>
      </w:r>
      <w:r>
        <w:t xml:space="preserve">2. Debatieron cada punto de la agenda</w:t>
      </w:r>
      <w:r>
        <w:t xml:space="preserve"> </w:t>
      </w:r>
      <w:r>
        <w:t xml:space="preserve">3. Propusieron modificaciones que fueron aceptadas</w:t>
      </w:r>
      <w:r>
        <w:t xml:space="preserve"> </w:t>
      </w:r>
      <w:r>
        <w:t xml:space="preserve">4. Votaron (aunque en contra)</w:t>
      </w:r>
      <w:r>
        <w:t xml:space="preserve"> </w:t>
      </w:r>
      <w:r>
        <w:t xml:space="preserve">5. Sus votos fueron contados</w:t>
      </w:r>
    </w:p>
    <w:p>
      <w:pPr>
        <w:pStyle w:val="BodyText"/>
      </w:pPr>
      <w:r>
        <w:rPr>
          <w:b/>
          <w:bCs/>
        </w:rPr>
        <w:t xml:space="preserve">No pueden ahora impugnar la validez de un proceso en el que participaron activamente.</w:t>
      </w:r>
      <w:r>
        <w:t xml:space="preserve"> </w:t>
      </w:r>
      <w:r>
        <w:t xml:space="preserve">La doctrina de los actos propios prohíbe contradecir conducta anterior (Artículo 21 del Código Civil, principio de buena fe).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f1f70b47fbf1e65db713decaa7a57874aa20084"/>
    <w:p>
      <w:pPr>
        <w:pStyle w:val="Heading2"/>
      </w:pPr>
      <w:r>
        <w:t xml:space="preserve">III. NO EXISTE APARIENCIA DE BUEN DERECHO (FUMUS BONI IURIS)</w:t>
      </w:r>
    </w:p>
    <w:p>
      <w:pPr>
        <w:pStyle w:val="FirstParagraph"/>
      </w:pPr>
      <w:r>
        <w:t xml:space="preserve">Para el otorgamiento de medidas cautelares, el Artículo 78 CPC requiere</w:t>
      </w:r>
      <w:r>
        <w:t xml:space="preserve"> </w:t>
      </w:r>
      <w:r>
        <w:t xml:space="preserve">“probabilidad o verosimilitud de la pretensión”</w:t>
      </w:r>
      <w:r>
        <w:t xml:space="preserve">.</w:t>
      </w:r>
    </w:p>
    <w:p>
      <w:pPr>
        <w:pStyle w:val="BodyText"/>
      </w:pPr>
      <w:r>
        <w:t xml:space="preserve">Los actores NO tienen apariencia de buen derecho porque: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 asamblea cumplió todos los requisitos formales</w:t>
      </w:r>
      <w:r>
        <w:t xml:space="preserve"> </w:t>
      </w:r>
      <w:r>
        <w:t xml:space="preserve">— convocatoria, quórum, votación calificada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El Artículo 27 se cumplió</w:t>
      </w:r>
      <w:r>
        <w:t xml:space="preserve"> </w:t>
      </w:r>
      <w:r>
        <w:t xml:space="preserve">— matemáticamente demostrado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Participaron y perdieron</w:t>
      </w:r>
      <w:r>
        <w:t xml:space="preserve"> </w:t>
      </w:r>
      <w:r>
        <w:t xml:space="preserve">— no hay vicio procesal, hay derrota democrática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Sus objeciones fueron atendidas</w:t>
      </w:r>
      <w:r>
        <w:t xml:space="preserve"> </w:t>
      </w:r>
      <w:r>
        <w:t xml:space="preserve">— la asamblea modificó el texto a su solicitud</w:t>
      </w:r>
    </w:p>
    <w:p>
      <w:r>
        <w:pict>
          <v:rect style="width:0;height:1.5pt" o:hralign="center" o:hrstd="t" o:hr="t"/>
        </w:pict>
      </w:r>
    </w:p>
    <w:bookmarkEnd w:id="22"/>
    <w:bookmarkStart w:id="26" w:name="X43f16ae18655e360aee91b85a5d774c30acd36c"/>
    <w:p>
      <w:pPr>
        <w:pStyle w:val="Heading2"/>
      </w:pPr>
      <w:r>
        <w:t xml:space="preserve">IV. NO EXISTE PELIGRO EN LA DEMORA (PERICULUM IN MORA)</w:t>
      </w:r>
    </w:p>
    <w:p>
      <w:pPr>
        <w:pStyle w:val="FirstParagraph"/>
      </w:pPr>
      <w:r>
        <w:t xml:space="preserve">Los actores alegan</w:t>
      </w:r>
      <w:r>
        <w:t xml:space="preserve"> </w:t>
      </w:r>
      <w:r>
        <w:t xml:space="preserve">“urgencia”</w:t>
      </w:r>
      <w:r>
        <w:t xml:space="preserve"> </w:t>
      </w:r>
      <w:r>
        <w:t xml:space="preserve">por potencial cobro hipotecario. Sin embargo:</w:t>
      </w:r>
    </w:p>
    <w:bookmarkStart w:id="23" w:name="a.-el-tribunal-ya-rechazó-la-urgencia"/>
    <w:p>
      <w:pPr>
        <w:pStyle w:val="Heading3"/>
      </w:pPr>
      <w:r>
        <w:t xml:space="preserve">A. El Tribunal Ya Rechazó la Urgencia</w:t>
      </w:r>
    </w:p>
    <w:p>
      <w:pPr>
        <w:pStyle w:val="FirstParagraph"/>
      </w:pPr>
      <w:r>
        <w:t xml:space="preserve">En resolución del</w:t>
      </w:r>
      <w:r>
        <w:t xml:space="preserve"> </w:t>
      </w:r>
      <w:r>
        <w:rPr>
          <w:b/>
          <w:bCs/>
        </w:rPr>
        <w:t xml:space="preserve">6 de mayo de 2026</w:t>
      </w:r>
      <w:r>
        <w:t xml:space="preserve">, el propio Tribunal determinó:</w:t>
      </w:r>
    </w:p>
    <w:p>
      <w:pPr>
        <w:pStyle w:val="BlockText"/>
      </w:pPr>
      <w:r>
        <w:t xml:space="preserve">“…no se justifica prescindir de previa audiencia a la parte contraria, por cuanto la parte gestionante sobre ello fundamenta su petición en la supuesta urgencia del cobro hipotecario; sin embargo,</w:t>
      </w:r>
      <w:r>
        <w:t xml:space="preserve"> </w:t>
      </w:r>
      <w:r>
        <w:rPr>
          <w:b/>
          <w:bCs/>
        </w:rPr>
        <w:t xml:space="preserve">tal alegación se formula de manera genérica, sin que se expongan ni acrediten circunstancias concretas</w:t>
      </w:r>
      <w:r>
        <w:t xml:space="preserve"> </w:t>
      </w:r>
      <w:r>
        <w:t xml:space="preserve">que permitan tener por configurado un riesgo real, actual e inminente…”</w:t>
      </w:r>
    </w:p>
    <w:bookmarkEnd w:id="23"/>
    <w:bookmarkStart w:id="24" w:name="b.-el-daño-es-auto-infligido"/>
    <w:p>
      <w:pPr>
        <w:pStyle w:val="Heading3"/>
      </w:pPr>
      <w:r>
        <w:t xml:space="preserve">B. El Daño es Auto-Infligido</w:t>
      </w:r>
    </w:p>
    <w:p>
      <w:pPr>
        <w:pStyle w:val="FirstParagraph"/>
      </w:pPr>
      <w:r>
        <w:t xml:space="preserve">Los actores:</w:t>
      </w:r>
      <w:r>
        <w:t xml:space="preserve"> </w:t>
      </w:r>
      <w:r>
        <w:t xml:space="preserve">- No han pagado cuotas de mantenimiento desde hace</w:t>
      </w:r>
      <w:r>
        <w:t xml:space="preserve"> </w:t>
      </w:r>
      <w:r>
        <w:rPr>
          <w:b/>
          <w:bCs/>
        </w:rPr>
        <w:t xml:space="preserve">más de un año</w:t>
      </w:r>
      <w:r>
        <w:t xml:space="preserve"> </w:t>
      </w:r>
      <w:r>
        <w:t xml:space="preserve">- Deben aproximadamente</w:t>
      </w:r>
      <w:r>
        <w:t xml:space="preserve"> </w:t>
      </w:r>
      <w:r>
        <w:rPr>
          <w:b/>
          <w:bCs/>
        </w:rPr>
        <w:t xml:space="preserve">$6,000 cada uno</w:t>
      </w:r>
      <w:r>
        <w:t xml:space="preserve"> </w:t>
      </w:r>
      <w:r>
        <w:t xml:space="preserve">al condominio</w:t>
      </w:r>
      <w:r>
        <w:t xml:space="preserve"> </w:t>
      </w:r>
      <w:r>
        <w:t xml:space="preserve">- El señor Matthew Fitzmaurice (relacionado con Filial 32) dejó de pagar desde</w:t>
      </w:r>
      <w:r>
        <w:t xml:space="preserve"> </w:t>
      </w:r>
      <w:r>
        <w:rPr>
          <w:b/>
          <w:bCs/>
        </w:rPr>
        <w:t xml:space="preserve">julio de 2024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Deuda combinada superior a $24,000</w:t>
      </w:r>
    </w:p>
    <w:p>
      <w:pPr>
        <w:pStyle w:val="BodyText"/>
      </w:pPr>
      <w:r>
        <w:t xml:space="preserve">No pueden alegar</w:t>
      </w:r>
      <w:r>
        <w:t xml:space="preserve"> </w:t>
      </w:r>
      <w:r>
        <w:t xml:space="preserve">“urgencia”</w:t>
      </w:r>
      <w:r>
        <w:t xml:space="preserve"> </w:t>
      </w:r>
      <w:r>
        <w:t xml:space="preserve">por potencial cobro cuando ellos mismos han elegido no pagar durante más de 12 meses. El supuesto daño es</w:t>
      </w:r>
      <w:r>
        <w:t xml:space="preserve"> </w:t>
      </w:r>
      <w:r>
        <w:rPr>
          <w:b/>
          <w:bCs/>
        </w:rPr>
        <w:t xml:space="preserve">voluntario y auto-infligido</w:t>
      </w:r>
      <w:r>
        <w:t xml:space="preserve">.</w:t>
      </w:r>
    </w:p>
    <w:bookmarkEnd w:id="24"/>
    <w:bookmarkStart w:id="25" w:name="c.-no-hay-cobro-hipotecario-inminente"/>
    <w:p>
      <w:pPr>
        <w:pStyle w:val="Heading3"/>
      </w:pPr>
      <w:r>
        <w:t xml:space="preserve">C. No Hay Cobro Hipotecario Inminente</w:t>
      </w:r>
    </w:p>
    <w:p>
      <w:pPr>
        <w:pStyle w:val="Compact"/>
        <w:numPr>
          <w:ilvl w:val="0"/>
          <w:numId w:val="1009"/>
        </w:numPr>
      </w:pPr>
      <w:r>
        <w:t xml:space="preserve">No se ha iniciado ningún proceso de ejecución hipotecaria</w:t>
      </w:r>
    </w:p>
    <w:p>
      <w:pPr>
        <w:pStyle w:val="Compact"/>
        <w:numPr>
          <w:ilvl w:val="0"/>
          <w:numId w:val="1009"/>
        </w:numPr>
      </w:pPr>
      <w:r>
        <w:t xml:space="preserve">No existe demanda de cobro presentada</w:t>
      </w:r>
    </w:p>
    <w:p>
      <w:pPr>
        <w:pStyle w:val="Compact"/>
        <w:numPr>
          <w:ilvl w:val="0"/>
          <w:numId w:val="1009"/>
        </w:numPr>
      </w:pPr>
      <w:r>
        <w:t xml:space="preserve">La</w:t>
      </w:r>
      <w:r>
        <w:t xml:space="preserve"> </w:t>
      </w:r>
      <w:r>
        <w:t xml:space="preserve">“urgencia”</w:t>
      </w:r>
      <w:r>
        <w:t xml:space="preserve"> </w:t>
      </w:r>
      <w:r>
        <w:t xml:space="preserve">es fabricada para obtener una medida sin audiencia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4a818ab6ce713b9da165d745ab436cb47031279"/>
    <w:p>
      <w:pPr>
        <w:pStyle w:val="Heading2"/>
      </w:pPr>
      <w:r>
        <w:t xml:space="preserve">V. LOS ACTORES SON MOROSOS DE MALA FE — NO PAGAN BAJO NINGÚN RÉGIMEN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Filial</w:t>
            </w:r>
          </w:p>
        </w:tc>
        <w:tc>
          <w:tcPr/>
          <w:p>
            <w:pPr>
              <w:pStyle w:val="Compact"/>
            </w:pPr>
            <w:r>
              <w:t xml:space="preserve">Propietario</w:t>
            </w:r>
          </w:p>
        </w:tc>
        <w:tc>
          <w:tcPr/>
          <w:p>
            <w:pPr>
              <w:pStyle w:val="Compact"/>
            </w:pPr>
            <w:r>
              <w:t xml:space="preserve">Deuda Aproximada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FF01</w:t>
            </w:r>
          </w:p>
        </w:tc>
        <w:tc>
          <w:tcPr/>
          <w:p>
            <w:pPr>
              <w:pStyle w:val="Compact"/>
            </w:pPr>
            <w:r>
              <w:t xml:space="preserve">Propiedades y Terrenos Terrazas del Arco Iris</w:t>
            </w:r>
          </w:p>
        </w:tc>
        <w:tc>
          <w:tcPr/>
          <w:p>
            <w:pPr>
              <w:pStyle w:val="Compact"/>
            </w:pPr>
            <w:r>
              <w:t xml:space="preserve">&gt;$6,000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FF04</w:t>
            </w:r>
          </w:p>
        </w:tc>
        <w:tc>
          <w:tcPr/>
          <w:p>
            <w:pPr>
              <w:pStyle w:val="Compact"/>
            </w:pPr>
            <w:r>
              <w:t xml:space="preserve">Gratum Nosara SRL</w:t>
            </w:r>
          </w:p>
        </w:tc>
        <w:tc>
          <w:tcPr/>
          <w:p>
            <w:pPr>
              <w:pStyle w:val="Compact"/>
            </w:pPr>
            <w:r>
              <w:t xml:space="preserve">&gt;$6,000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FF20</w:t>
            </w:r>
          </w:p>
        </w:tc>
        <w:tc>
          <w:tcPr/>
          <w:p>
            <w:pPr>
              <w:pStyle w:val="Compact"/>
            </w:pPr>
            <w:r>
              <w:t xml:space="preserve">Rancho Verde Riabov Ltda.</w:t>
            </w:r>
          </w:p>
        </w:tc>
        <w:tc>
          <w:tcPr/>
          <w:p>
            <w:pPr>
              <w:pStyle w:val="Compact"/>
            </w:pPr>
            <w:r>
              <w:t xml:space="preserve">&gt;$6,000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FF32</w:t>
            </w:r>
          </w:p>
        </w:tc>
        <w:tc>
          <w:tcPr/>
          <w:p>
            <w:pPr>
              <w:pStyle w:val="Compact"/>
            </w:pPr>
            <w:r>
              <w:t xml:space="preserve">Rancho Azul Guzmán Ltda.</w:t>
            </w:r>
          </w:p>
        </w:tc>
        <w:tc>
          <w:tcPr/>
          <w:p>
            <w:pPr>
              <w:pStyle w:val="Compact"/>
            </w:pPr>
            <w:r>
              <w:t xml:space="preserve">&gt;$6,000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&gt;$24,000</w:t>
            </w:r>
          </w:p>
        </w:tc>
      </w:tr>
    </w:tbl>
    <w:bookmarkStart w:id="27" w:name="X0624c27416bdfc111d93ffcc67413f4662089ba"/>
    <w:p>
      <w:pPr>
        <w:pStyle w:val="Heading3"/>
      </w:pPr>
      <w:r>
        <w:t xml:space="preserve">A. El Caso Anterior NO les da la Razón — Solo Suspendió Temporalmente</w:t>
      </w:r>
    </w:p>
    <w:p>
      <w:pPr>
        <w:pStyle w:val="FirstParagraph"/>
      </w:pPr>
      <w:r>
        <w:t xml:space="preserve">En el expediente 25-000060-2018-CI, los actores obtuvieron</w:t>
      </w:r>
      <w:r>
        <w:t xml:space="preserve"> </w:t>
      </w:r>
      <w:r>
        <w:rPr>
          <w:b/>
          <w:bCs/>
        </w:rPr>
        <w:t xml:space="preserve">únicamente medidas cautelares</w:t>
      </w:r>
      <w:r>
        <w:t xml:space="preserve"> </w:t>
      </w:r>
      <w:r>
        <w:t xml:space="preserve">que suspendieron los acuerdos de la asamblea de febrero 2025, revirtiendo al condominio al presupuesto y reglamento de 2024.</w:t>
      </w:r>
    </w:p>
    <w:p>
      <w:pPr>
        <w:pStyle w:val="BodyText"/>
      </w:pPr>
      <w:r>
        <w:rPr>
          <w:b/>
          <w:bCs/>
        </w:rPr>
        <w:t xml:space="preserve">IMPORTANTE:</w:t>
      </w:r>
      <w:r>
        <w:t xml:space="preserve"> </w:t>
      </w:r>
      <w:r>
        <w:t xml:space="preserve">No existe sentencia definitiva favorable a los actores. El caso sigue pendiente. Las medidas cautelares NO equivalen a ganar el caso.</w:t>
      </w:r>
    </w:p>
    <w:bookmarkEnd w:id="27"/>
    <w:bookmarkStart w:id="28" w:name="b.-no-han-pagado-bajo-ningún-régimen"/>
    <w:p>
      <w:pPr>
        <w:pStyle w:val="Heading3"/>
      </w:pPr>
      <w:r>
        <w:t xml:space="preserve">B. No Han Pagado Bajo NINGÚN Régimen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Período</w:t>
            </w:r>
          </w:p>
        </w:tc>
        <w:tc>
          <w:tcPr/>
          <w:p>
            <w:pPr>
              <w:pStyle w:val="Compact"/>
            </w:pPr>
            <w:r>
              <w:t xml:space="preserve">Régimen Aplicable</w:t>
            </w:r>
          </w:p>
        </w:tc>
        <w:tc>
          <w:tcPr/>
          <w:p>
            <w:pPr>
              <w:pStyle w:val="Compact"/>
            </w:pPr>
            <w:r>
              <w:t xml:space="preserve">¿Pagaron los actores?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Presupuesto/Reglamento 2024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Feb-Oct 2025</w:t>
            </w:r>
          </w:p>
        </w:tc>
        <w:tc>
          <w:tcPr/>
          <w:p>
            <w:pPr>
              <w:pStyle w:val="Compact"/>
            </w:pPr>
            <w:r>
              <w:t xml:space="preserve">Acuerdos Asamblea Feb 2025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Oct 2025-Mar 2026</w:t>
            </w:r>
          </w:p>
        </w:tc>
        <w:tc>
          <w:tcPr/>
          <w:p>
            <w:pPr>
              <w:pStyle w:val="Compact"/>
            </w:pPr>
            <w:r>
              <w:t xml:space="preserve">Revertido a 2024 por cautelar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 2026-presente</w:t>
            </w:r>
          </w:p>
        </w:tc>
        <w:tc>
          <w:tcPr/>
          <w:p>
            <w:pPr>
              <w:pStyle w:val="Compact"/>
            </w:pPr>
            <w:r>
              <w:t xml:space="preserve">Acuerdos Asamblea Mar 2026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Los actores no han pagado un solo colón en más de DOS AÑOS</w:t>
      </w:r>
      <w:r>
        <w:t xml:space="preserve">, ni bajo el régimen anterior, ni bajo el nuevo, ni cuando obtuvieron la suspensión que los devolvió al régimen de 2024.</w:t>
      </w:r>
    </w:p>
    <w:bookmarkEnd w:id="28"/>
    <w:bookmarkStart w:id="29" w:name="c.-su-verdadera-intención"/>
    <w:p>
      <w:pPr>
        <w:pStyle w:val="Heading3"/>
      </w:pPr>
      <w:r>
        <w:t xml:space="preserve">C. Su Verdadera Intención</w:t>
      </w:r>
    </w:p>
    <w:p>
      <w:pPr>
        <w:pStyle w:val="FirstParagraph"/>
      </w:pPr>
      <w:r>
        <w:t xml:space="preserve">Los actores NO buscan</w:t>
      </w:r>
      <w:r>
        <w:t xml:space="preserve"> </w:t>
      </w:r>
      <w:r>
        <w:t xml:space="preserve">“reglas justas”</w:t>
      </w:r>
      <w:r>
        <w:t xml:space="preserve"> </w:t>
      </w:r>
      <w:r>
        <w:t xml:space="preserve">— buscan</w:t>
      </w:r>
      <w:r>
        <w:t xml:space="preserve"> </w:t>
      </w:r>
      <w:r>
        <w:rPr>
          <w:b/>
          <w:bCs/>
        </w:rPr>
        <w:t xml:space="preserve">NO PAGAR NADA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Bajo reglas de 2024:</w:t>
      </w:r>
      <w:r>
        <w:t xml:space="preserve"> </w:t>
      </w:r>
      <w:r>
        <w:rPr>
          <w:b/>
          <w:bCs/>
        </w:rPr>
        <w:t xml:space="preserve">No pagaron</w:t>
      </w:r>
    </w:p>
    <w:p>
      <w:pPr>
        <w:pStyle w:val="Compact"/>
        <w:numPr>
          <w:ilvl w:val="0"/>
          <w:numId w:val="1010"/>
        </w:numPr>
      </w:pPr>
      <w:r>
        <w:t xml:space="preserve">Bajo reglas de 2025:</w:t>
      </w:r>
      <w:r>
        <w:t xml:space="preserve"> </w:t>
      </w:r>
      <w:r>
        <w:rPr>
          <w:b/>
          <w:bCs/>
        </w:rPr>
        <w:t xml:space="preserve">No pagaron</w:t>
      </w:r>
    </w:p>
    <w:p>
      <w:pPr>
        <w:pStyle w:val="Compact"/>
        <w:numPr>
          <w:ilvl w:val="0"/>
          <w:numId w:val="1010"/>
        </w:numPr>
      </w:pPr>
      <w:r>
        <w:t xml:space="preserve">Cuando revirtieron a 2024 por cautelar:</w:t>
      </w:r>
      <w:r>
        <w:t xml:space="preserve"> </w:t>
      </w:r>
      <w:r>
        <w:rPr>
          <w:b/>
          <w:bCs/>
        </w:rPr>
        <w:t xml:space="preserve">Tampoco pagaron</w:t>
      </w:r>
    </w:p>
    <w:p>
      <w:pPr>
        <w:pStyle w:val="Compact"/>
        <w:numPr>
          <w:ilvl w:val="0"/>
          <w:numId w:val="1010"/>
        </w:numPr>
      </w:pPr>
      <w:r>
        <w:t xml:space="preserve">Ahora impugnan 2026:</w:t>
      </w:r>
      <w:r>
        <w:t xml:space="preserve"> </w:t>
      </w:r>
      <w:r>
        <w:rPr>
          <w:b/>
          <w:bCs/>
        </w:rPr>
        <w:t xml:space="preserve">Siguen sin pagar</w:t>
      </w:r>
    </w:p>
    <w:p>
      <w:pPr>
        <w:pStyle w:val="FirstParagraph"/>
      </w:pPr>
      <w:r>
        <w:t xml:space="preserve">Su estrategia es clara:</w:t>
      </w:r>
      <w:r>
        <w:t xml:space="preserve"> </w:t>
      </w:r>
      <w:r>
        <w:rPr>
          <w:b/>
          <w:bCs/>
        </w:rPr>
        <w:t xml:space="preserve">litigar indefinidamente para evitar cualquier obligación de pago</w:t>
      </w:r>
      <w:r>
        <w:t xml:space="preserve">, mientras continúan disfrutando de los servicios del condominio (seguridad, mantenimiento, áreas comunes).</w:t>
      </w:r>
    </w:p>
    <w:bookmarkEnd w:id="29"/>
    <w:bookmarkStart w:id="30" w:name="d.-abuso-del-sistema-judicial"/>
    <w:p>
      <w:pPr>
        <w:pStyle w:val="Heading3"/>
      </w:pPr>
      <w:r>
        <w:t xml:space="preserve">D. Abuso del Sistema Judicial</w:t>
      </w:r>
    </w:p>
    <w:p>
      <w:pPr>
        <w:pStyle w:val="FirstParagraph"/>
      </w:pPr>
      <w:r>
        <w:t xml:space="preserve">Esto constituye</w:t>
      </w:r>
      <w:r>
        <w:t xml:space="preserve"> </w:t>
      </w:r>
      <w:r>
        <w:rPr>
          <w:b/>
          <w:bCs/>
        </w:rPr>
        <w:t xml:space="preserve">abuso manifiesto del proceso judicial</w:t>
      </w:r>
      <w:r>
        <w:t xml:space="preserve">:</w:t>
      </w:r>
      <w:r>
        <w:t xml:space="preserve"> </w:t>
      </w:r>
      <w:r>
        <w:t xml:space="preserve">- Utilizan demandas para suspender cobros, no para obtener justicia</w:t>
      </w:r>
      <w:r>
        <w:t xml:space="preserve"> </w:t>
      </w:r>
      <w:r>
        <w:t xml:space="preserve">- Obtienen cautelares, pero no pagan ni bajo las reglas que ellos mismos pidieron restablecer</w:t>
      </w:r>
      <w:r>
        <w:t xml:space="preserve"> </w:t>
      </w:r>
      <w:r>
        <w:t xml:space="preserve">- Demuestran que su problema NO es el reglamento — es pagar</w:t>
      </w:r>
    </w:p>
    <w:p>
      <w:pPr>
        <w:pStyle w:val="BodyText"/>
      </w:pPr>
      <w:r>
        <w:rPr>
          <w:b/>
          <w:bCs/>
        </w:rPr>
        <w:t xml:space="preserve">Solicito al Tribunal considerar este patrón de conducta al evaluar la buena fe procesal de los actores.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vi.-patrón-de-conducta-de-mala-fe"/>
    <w:p>
      <w:pPr>
        <w:pStyle w:val="Heading2"/>
      </w:pPr>
      <w:r>
        <w:t xml:space="preserve">VI. PATRÓN DE CONDUCTA DE MALA FE</w:t>
      </w:r>
    </w:p>
    <w:p>
      <w:pPr>
        <w:pStyle w:val="FirstParagraph"/>
      </w:pPr>
      <w:r>
        <w:t xml:space="preserve">Los actores y sus relacionados han demostrado conducta sistemática de mala fe:</w:t>
      </w:r>
    </w:p>
    <w:bookmarkStart w:id="32" w:name="a.-denuncias-penales-falsas-2025"/>
    <w:p>
      <w:pPr>
        <w:pStyle w:val="Heading3"/>
      </w:pPr>
      <w:r>
        <w:t xml:space="preserve">A. Denuncias Penales Falsas (2025)</w:t>
      </w:r>
    </w:p>
    <w:p>
      <w:pPr>
        <w:pStyle w:val="Compact"/>
        <w:numPr>
          <w:ilvl w:val="0"/>
          <w:numId w:val="1011"/>
        </w:numPr>
      </w:pPr>
      <w:r>
        <w:t xml:space="preserve">Denuncia por usurpación —</w:t>
      </w:r>
      <w:r>
        <w:t xml:space="preserve"> </w:t>
      </w:r>
      <w:r>
        <w:rPr>
          <w:b/>
          <w:bCs/>
        </w:rPr>
        <w:t xml:space="preserve">EN PROCESO DE ARCHIVO</w:t>
      </w:r>
    </w:p>
    <w:p>
      <w:pPr>
        <w:pStyle w:val="Compact"/>
        <w:numPr>
          <w:ilvl w:val="0"/>
          <w:numId w:val="1011"/>
        </w:numPr>
      </w:pPr>
      <w:r>
        <w:t xml:space="preserve">3 denuncias por infracción Ley Forestal —</w:t>
      </w:r>
      <w:r>
        <w:t xml:space="preserve"> </w:t>
      </w:r>
      <w:r>
        <w:rPr>
          <w:b/>
          <w:bCs/>
        </w:rPr>
        <w:t xml:space="preserve">EN PROCESO DE ARCHIVO</w:t>
      </w:r>
    </w:p>
    <w:bookmarkEnd w:id="32"/>
    <w:bookmarkStart w:id="33" w:name="b.-violaciones-al-reglamento"/>
    <w:p>
      <w:pPr>
        <w:pStyle w:val="Heading3"/>
      </w:pPr>
      <w:r>
        <w:t xml:space="preserve">B. Violaciones al Reglamento</w:t>
      </w:r>
    </w:p>
    <w:p>
      <w:pPr>
        <w:pStyle w:val="Compact"/>
        <w:numPr>
          <w:ilvl w:val="0"/>
          <w:numId w:val="1012"/>
        </w:numPr>
      </w:pPr>
      <w:r>
        <w:t xml:space="preserve">Ingreso forzado al condominio burlando seguridad (agosto 2025)</w:t>
      </w:r>
    </w:p>
    <w:p>
      <w:pPr>
        <w:pStyle w:val="Compact"/>
        <w:numPr>
          <w:ilvl w:val="0"/>
          <w:numId w:val="1012"/>
        </w:numPr>
      </w:pPr>
      <w:r>
        <w:t xml:space="preserve">Instalación de cámaras no autorizadas</w:t>
      </w:r>
    </w:p>
    <w:bookmarkEnd w:id="33"/>
    <w:bookmarkStart w:id="34" w:name="c.-amenazas-a-terceros"/>
    <w:p>
      <w:pPr>
        <w:pStyle w:val="Heading3"/>
      </w:pPr>
      <w:r>
        <w:t xml:space="preserve">C. Amenazas a Terceros</w:t>
      </w:r>
    </w:p>
    <w:p>
      <w:pPr>
        <w:pStyle w:val="Compact"/>
        <w:numPr>
          <w:ilvl w:val="0"/>
          <w:numId w:val="1013"/>
        </w:numPr>
      </w:pPr>
      <w:r>
        <w:t xml:space="preserve">SFERA Legal amenazó por error a la arquitecta Milagro Castro, confundiéndola con otra persona</w:t>
      </w:r>
    </w:p>
    <w:bookmarkEnd w:id="34"/>
    <w:bookmarkStart w:id="35" w:name="d.-impago-sistemático"/>
    <w:p>
      <w:pPr>
        <w:pStyle w:val="Heading3"/>
      </w:pPr>
      <w:r>
        <w:t xml:space="preserve">D. Impago Sistemático</w:t>
      </w:r>
    </w:p>
    <w:p>
      <w:pPr>
        <w:pStyle w:val="Compact"/>
        <w:numPr>
          <w:ilvl w:val="0"/>
          <w:numId w:val="1014"/>
        </w:numPr>
      </w:pPr>
      <w:r>
        <w:t xml:space="preserve">Más de $24,000 en deudas combinadas</w:t>
      </w:r>
    </w:p>
    <w:p>
      <w:pPr>
        <w:pStyle w:val="Compact"/>
        <w:numPr>
          <w:ilvl w:val="0"/>
          <w:numId w:val="1014"/>
        </w:numPr>
      </w:pPr>
      <w:r>
        <w:t xml:space="preserve">Negativa a pagar por más de 12 meses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Xa24a3babcf35c91f120a40975fee8a9945b5b86"/>
    <w:p>
      <w:pPr>
        <w:pStyle w:val="Heading2"/>
      </w:pPr>
      <w:r>
        <w:t xml:space="preserve">VII. SOBRE EL CASO ANTERIOR (Expediente 25-000060-2018-CI)</w:t>
      </w:r>
    </w:p>
    <w:bookmarkStart w:id="37" w:name="X3aa0cb877d3f20ac9c078f5af3b59584d9fa515"/>
    <w:p>
      <w:pPr>
        <w:pStyle w:val="Heading3"/>
      </w:pPr>
      <w:r>
        <w:t xml:space="preserve">A. NO Existe Sentencia Favorable a los Actores</w:t>
      </w:r>
    </w:p>
    <w:p>
      <w:pPr>
        <w:pStyle w:val="FirstParagraph"/>
      </w:pPr>
      <w:r>
        <w:t xml:space="preserve">Los actores pretenden crear la impresión de que</w:t>
      </w:r>
      <w:r>
        <w:t xml:space="preserve"> </w:t>
      </w:r>
      <w:r>
        <w:t xml:space="preserve">“ganaron”</w:t>
      </w:r>
      <w:r>
        <w:t xml:space="preserve"> </w:t>
      </w:r>
      <w:r>
        <w:t xml:space="preserve">el caso anterior.</w:t>
      </w:r>
      <w:r>
        <w:t xml:space="preserve"> </w:t>
      </w:r>
      <w:r>
        <w:rPr>
          <w:b/>
          <w:bCs/>
        </w:rPr>
        <w:t xml:space="preserve">Esto es FALSO.</w:t>
      </w:r>
    </w:p>
    <w:p>
      <w:pPr>
        <w:pStyle w:val="BodyText"/>
      </w:pPr>
      <w:r>
        <w:t xml:space="preserve">En el expediente 25-000060-2018-CI:</w:t>
      </w:r>
      <w:r>
        <w:t xml:space="preserve"> </w:t>
      </w:r>
      <w:r>
        <w:t xml:space="preserve">- ✅ Obtuvieron</w:t>
      </w:r>
      <w:r>
        <w:t xml:space="preserve"> </w:t>
      </w:r>
      <w:r>
        <w:rPr>
          <w:b/>
          <w:bCs/>
        </w:rPr>
        <w:t xml:space="preserve">medidas cautelares</w:t>
      </w:r>
      <w:r>
        <w:t xml:space="preserve"> </w:t>
      </w:r>
      <w:r>
        <w:t xml:space="preserve">(suspensión temporal)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NO existe sentencia definitiva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NO hay declaratoria de nulidad</w:t>
      </w:r>
      <w:r>
        <w:t xml:space="preserve"> </w:t>
      </w:r>
      <w:r>
        <w:t xml:space="preserve">de la asamblea de febrero 2025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El caso sigue PENDIENTE</w:t>
      </w:r>
      <w:r>
        <w:t xml:space="preserve"> </w:t>
      </w:r>
      <w:r>
        <w:t xml:space="preserve">de resolución en cuanto al fondo</w:t>
      </w:r>
    </w:p>
    <w:p>
      <w:pPr>
        <w:pStyle w:val="BodyText"/>
      </w:pPr>
      <w:r>
        <w:t xml:space="preserve">Las medidas cautelares son</w:t>
      </w:r>
      <w:r>
        <w:t xml:space="preserve"> </w:t>
      </w:r>
      <w:r>
        <w:rPr>
          <w:b/>
          <w:bCs/>
        </w:rPr>
        <w:t xml:space="preserve">provisionales y temporales</w:t>
      </w:r>
      <w:r>
        <w:t xml:space="preserve"> </w:t>
      </w:r>
      <w:r>
        <w:t xml:space="preserve">— no constituyen un pronunciamiento sobre la validez o nulidad de los acuerdos impugnados. El Tribunal aún no ha decidido si la asamblea de febrero 2025 fue válida o no.</w:t>
      </w:r>
    </w:p>
    <w:bookmarkEnd w:id="37"/>
    <w:bookmarkStart w:id="38" w:name="b.-el-presente-caso-es-independiente"/>
    <w:p>
      <w:pPr>
        <w:pStyle w:val="Heading3"/>
      </w:pPr>
      <w:r>
        <w:t xml:space="preserve">B. El Presente Caso es Independiente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Asamblea DIFERENTE</w:t>
      </w:r>
      <w:r>
        <w:t xml:space="preserve"> </w:t>
      </w:r>
      <w:r>
        <w:t xml:space="preserve">— Febrero 2025 vs. Marzo 2026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Hechos distintos</w:t>
      </w:r>
      <w:r>
        <w:t xml:space="preserve"> </w:t>
      </w:r>
      <w:r>
        <w:t xml:space="preserve">— Nueva convocatoria, nuevo quórum, nueva votación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La asamblea de marzo 2026 se convocó precisamente</w:t>
      </w:r>
      <w:r>
        <w:t xml:space="preserve"> </w:t>
      </w:r>
      <w:r>
        <w:t xml:space="preserve">para abordar las preocupaciones planteadas en el caso anterior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Los actores participaron plenamente</w:t>
      </w:r>
      <w:r>
        <w:t xml:space="preserve"> </w:t>
      </w:r>
      <w:r>
        <w:t xml:space="preserve">en la nueva asamblea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Sus objeciones fueron incorporadas</w:t>
      </w:r>
      <w:r>
        <w:t xml:space="preserve"> </w:t>
      </w:r>
      <w:r>
        <w:t xml:space="preserve">— se modificó la redacción a su solicitud</w:t>
      </w:r>
    </w:p>
    <w:bookmarkEnd w:id="38"/>
    <w:bookmarkStart w:id="39" w:name="c.-patrón-de-litigio-abusivo"/>
    <w:p>
      <w:pPr>
        <w:pStyle w:val="Heading3"/>
      </w:pPr>
      <w:r>
        <w:t xml:space="preserve">C. Patrón de Litigio Abusivo</w:t>
      </w:r>
    </w:p>
    <w:p>
      <w:pPr>
        <w:pStyle w:val="FirstParagraph"/>
      </w:pPr>
      <w:r>
        <w:t xml:space="preserve">Los actores:</w:t>
      </w:r>
      <w:r>
        <w:t xml:space="preserve"> </w:t>
      </w:r>
      <w:r>
        <w:t xml:space="preserve">1. Impugnaron la asamblea de febrero 2025 → obtuvieron cautelar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No pagaron</w:t>
      </w:r>
      <w:r>
        <w:t xml:space="preserve"> </w:t>
      </w:r>
      <w:r>
        <w:t xml:space="preserve">bajo el régimen de 2024 reinstaurado</w:t>
      </w:r>
      <w:r>
        <w:t xml:space="preserve"> </w:t>
      </w:r>
      <w:r>
        <w:t xml:space="preserve">3. Se celebró nueva asamblea en marzo 2026 para resolver objeciones</w:t>
      </w:r>
      <w:r>
        <w:t xml:space="preserve"> </w:t>
      </w:r>
      <w:r>
        <w:t xml:space="preserve">4. Participaron, debatieron, lograron modificaciones</w:t>
      </w:r>
      <w:r>
        <w:t xml:space="preserve"> </w:t>
      </w:r>
      <w:r>
        <w:t xml:space="preserve">5. Perdieron la votación democráticamente (83% vs 17%)</w:t>
      </w:r>
      <w:r>
        <w:t xml:space="preserve"> </w:t>
      </w:r>
      <w:r>
        <w:t xml:space="preserve">6. Ahora impugnan la nueva asamblea también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Siguen sin pagar</w:t>
      </w:r>
    </w:p>
    <w:p>
      <w:pPr>
        <w:pStyle w:val="BodyText"/>
      </w:pPr>
      <w:r>
        <w:rPr>
          <w:b/>
          <w:bCs/>
        </w:rPr>
        <w:t xml:space="preserve">Su estrategia es clara:</w:t>
      </w:r>
      <w:r>
        <w:t xml:space="preserve"> </w:t>
      </w:r>
      <w:r>
        <w:t xml:space="preserve">Litigar indefinidamente para evitar cualquier obligación de pago, independientemente de qué reglamento esté vigente.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viii.-petitoria"/>
    <w:p>
      <w:pPr>
        <w:pStyle w:val="Heading2"/>
      </w:pPr>
      <w:r>
        <w:t xml:space="preserve">VIII. PETITORIA</w:t>
      </w:r>
    </w:p>
    <w:p>
      <w:pPr>
        <w:pStyle w:val="FirstParagraph"/>
      </w:pPr>
      <w:r>
        <w:t xml:space="preserve">Con fundamento en lo expuesto, respetuosamente solicito:</w:t>
      </w:r>
    </w:p>
    <w:p>
      <w:pPr>
        <w:pStyle w:val="BodyText"/>
      </w:pPr>
      <w:r>
        <w:rPr>
          <w:b/>
          <w:bCs/>
        </w:rPr>
        <w:t xml:space="preserve">PRIMERO:</w:t>
      </w:r>
      <w:r>
        <w:t xml:space="preserve"> </w:t>
      </w:r>
      <w:r>
        <w:t xml:space="preserve">Declarar la</w:t>
      </w:r>
      <w:r>
        <w:t xml:space="preserve"> </w:t>
      </w:r>
      <w:r>
        <w:rPr>
          <w:b/>
          <w:bCs/>
        </w:rPr>
        <w:t xml:space="preserve">NULIDAD</w:t>
      </w:r>
      <w:r>
        <w:t xml:space="preserve"> </w:t>
      </w:r>
      <w:r>
        <w:t xml:space="preserve">de la notificación del 17 de mayo de 2026 por incumplimiento de la Ley 8687.</w:t>
      </w:r>
    </w:p>
    <w:p>
      <w:pPr>
        <w:pStyle w:val="BodyText"/>
      </w:pPr>
      <w:r>
        <w:rPr>
          <w:b/>
          <w:bCs/>
        </w:rPr>
        <w:t xml:space="preserve">SEGUNDO:</w:t>
      </w:r>
      <w:r>
        <w:t xml:space="preserve"> </w:t>
      </w:r>
      <w:r>
        <w:rPr>
          <w:b/>
          <w:bCs/>
        </w:rPr>
        <w:t xml:space="preserve">RECHAZAR</w:t>
      </w:r>
      <w:r>
        <w:t xml:space="preserve"> </w:t>
      </w:r>
      <w:r>
        <w:t xml:space="preserve">la solicitud de otorgamiento automático de medida cautelar presentada el 21 de mayo de 2026, por fundamentarse en notificación nula.</w:t>
      </w:r>
    </w:p>
    <w:p>
      <w:pPr>
        <w:pStyle w:val="BodyText"/>
      </w:pPr>
      <w:r>
        <w:rPr>
          <w:b/>
          <w:bCs/>
        </w:rPr>
        <w:t xml:space="preserve">TERCERO:</w:t>
      </w:r>
      <w:r>
        <w:t xml:space="preserve"> </w:t>
      </w:r>
      <w:r>
        <w:t xml:space="preserve">En cuanto al fondo,</w:t>
      </w:r>
      <w:r>
        <w:t xml:space="preserve"> </w:t>
      </w:r>
      <w:r>
        <w:rPr>
          <w:b/>
          <w:bCs/>
        </w:rPr>
        <w:t xml:space="preserve">DECLARAR SIN LUGAR</w:t>
      </w:r>
      <w:r>
        <w:t xml:space="preserve"> </w:t>
      </w:r>
      <w:r>
        <w:t xml:space="preserve">la solicitud de medida cautelar de suspensión provisional de acuerdos por:</w:t>
      </w:r>
      <w:r>
        <w:t xml:space="preserve"> </w:t>
      </w:r>
      <w:r>
        <w:t xml:space="preserve">- Ausencia de apariencia de buen derecho</w:t>
      </w:r>
      <w:r>
        <w:t xml:space="preserve"> </w:t>
      </w:r>
      <w:r>
        <w:t xml:space="preserve">- Ausencia de peligro en la demora</w:t>
      </w:r>
      <w:r>
        <w:t xml:space="preserve"> </w:t>
      </w:r>
      <w:r>
        <w:t xml:space="preserve">- Cumplimiento de todos los requisitos legales en la asamblea</w:t>
      </w:r>
      <w:r>
        <w:t xml:space="preserve"> </w:t>
      </w:r>
      <w:r>
        <w:t xml:space="preserve">- Cumplimiento del Artículo 27 de la Ley de Propiedad en Condominio</w:t>
      </w:r>
      <w:r>
        <w:t xml:space="preserve"> </w:t>
      </w:r>
      <w:r>
        <w:t xml:space="preserve">- Aplicación de la doctrina de los actos propios</w:t>
      </w:r>
    </w:p>
    <w:p>
      <w:pPr>
        <w:pStyle w:val="BodyText"/>
      </w:pPr>
      <w:r>
        <w:rPr>
          <w:b/>
          <w:bCs/>
        </w:rPr>
        <w:t xml:space="preserve">CUARTO:</w:t>
      </w:r>
      <w:r>
        <w:t xml:space="preserve"> </w:t>
      </w:r>
      <w:r>
        <w:t xml:space="preserve">Condenar en</w:t>
      </w:r>
      <w:r>
        <w:t xml:space="preserve"> </w:t>
      </w:r>
      <w:r>
        <w:rPr>
          <w:b/>
          <w:bCs/>
        </w:rPr>
        <w:t xml:space="preserve">COSTAS</w:t>
      </w:r>
      <w:r>
        <w:t xml:space="preserve"> </w:t>
      </w:r>
      <w:r>
        <w:t xml:space="preserve">a la parte actora por actuación temeraria.</w:t>
      </w:r>
    </w:p>
    <w:p>
      <w:pPr>
        <w:pStyle w:val="BodyText"/>
      </w:pPr>
      <w:r>
        <w:rPr>
          <w:b/>
          <w:bCs/>
        </w:rPr>
        <w:t xml:space="preserve">QUINTO:</w:t>
      </w:r>
      <w:r>
        <w:t xml:space="preserve"> </w:t>
      </w:r>
      <w:r>
        <w:t xml:space="preserve">Para efectos de notificaciones, se señala el correo electrónico: [CORREO DE ABI LEGAL]</w:t>
      </w:r>
    </w:p>
    <w:p>
      <w:r>
        <w:pict>
          <v:rect style="width:0;height:1.5pt" o:hralign="center" o:hrstd="t" o:hr="t"/>
        </w:pict>
      </w:r>
    </w:p>
    <w:bookmarkEnd w:id="41"/>
    <w:bookmarkStart w:id="42" w:name="ix.-prueba-ofrecida"/>
    <w:p>
      <w:pPr>
        <w:pStyle w:val="Heading2"/>
      </w:pPr>
      <w:r>
        <w:t xml:space="preserve">IX. PRUEBA OFRECIDA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Declaraciones juradas de tres testigos</w:t>
      </w:r>
      <w:r>
        <w:t xml:space="preserve"> </w:t>
      </w:r>
      <w:r>
        <w:t xml:space="preserve">— trabajadores que presenciaron la notificación defectuosa del 17 de mayo de 2026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Acta de Asamblea General Ordinaria del 9 de marzo de 2026</w:t>
      </w:r>
      <w:r>
        <w:t xml:space="preserve"> </w:t>
      </w:r>
      <w:r>
        <w:t xml:space="preserve">— protocolizada, demuestra quórum, votación y cumplimiento de requisitos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Convocatoria del 19 de febrero de 2026</w:t>
      </w:r>
      <w:r>
        <w:t xml:space="preserve"> </w:t>
      </w:r>
      <w:r>
        <w:t xml:space="preserve">— demuestra notificación debida con 18 días de anticipación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Estados de cuenta de morosidad</w:t>
      </w:r>
      <w:r>
        <w:t xml:space="preserve"> </w:t>
      </w:r>
      <w:r>
        <w:t xml:space="preserve">— de las filiales 01, 04, 20 y 32, demostrando deudas superiores a $24,000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Grabación de la asamblea</w:t>
      </w:r>
      <w:r>
        <w:t xml:space="preserve"> </w:t>
      </w:r>
      <w:r>
        <w:t xml:space="preserve">— Microsoft Teams, demuestra participación activa de los actores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Expedientes de denuncias penales archivadas</w:t>
      </w:r>
      <w:r>
        <w:t xml:space="preserve"> </w:t>
      </w:r>
      <w:r>
        <w:t xml:space="preserve">— demuestran patrón de mala fe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Cálculo matemático del Artículo 27</w:t>
      </w:r>
      <w:r>
        <w:t xml:space="preserve"> </w:t>
      </w:r>
      <w:r>
        <w:t xml:space="preserve">— demuestra cumplimiento del requisito de votación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Nosara, Guanacaste, [FECHA DE PRESENTACIÓN]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Por ADMIN MAR AZUL NOSARA S.R.L.</w:t>
      </w:r>
      <w:r>
        <w:t xml:space="preserve"> </w:t>
      </w:r>
      <w:r>
        <w:t xml:space="preserve">Cédula Jurídica 3-102-892782</w:t>
      </w:r>
      <w:r>
        <w:t xml:space="preserve"> </w:t>
      </w:r>
      <w:r>
        <w:t xml:space="preserve">Administradora del Condominio Mar Azul</w:t>
      </w:r>
    </w:p>
    <w:p>
      <w:r>
        <w:pict>
          <v:rect style="width:0;height:1.5pt" o:hralign="center" o:hrstd="t" o:hr="t"/>
        </w:pict>
      </w:r>
    </w:p>
    <w:bookmarkEnd w:id="42"/>
    <w:bookmarkStart w:id="43" w:name="documentos-anexos"/>
    <w:p>
      <w:pPr>
        <w:pStyle w:val="Heading2"/>
      </w:pPr>
      <w:r>
        <w:t xml:space="preserve">DOCUMENTOS ANEXOS:</w:t>
      </w:r>
    </w:p>
    <w:p>
      <w:pPr>
        <w:pStyle w:val="Compact"/>
        <w:numPr>
          <w:ilvl w:val="0"/>
          <w:numId w:val="1017"/>
        </w:numPr>
      </w:pPr>
      <w:r>
        <w:t xml:space="preserve">Declaración jurada Testigo 1</w:t>
      </w:r>
    </w:p>
    <w:p>
      <w:pPr>
        <w:pStyle w:val="Compact"/>
        <w:numPr>
          <w:ilvl w:val="0"/>
          <w:numId w:val="1018"/>
        </w:numPr>
      </w:pPr>
      <w:r>
        <w:t xml:space="preserve">Declaración jurada Testigo 2</w:t>
      </w:r>
    </w:p>
    <w:p>
      <w:pPr>
        <w:pStyle w:val="Compact"/>
        <w:numPr>
          <w:ilvl w:val="0"/>
          <w:numId w:val="1019"/>
        </w:numPr>
      </w:pPr>
      <w:r>
        <w:t xml:space="preserve">Declaración jurada Testigo 3</w:t>
      </w:r>
    </w:p>
    <w:p>
      <w:pPr>
        <w:pStyle w:val="Compact"/>
        <w:numPr>
          <w:ilvl w:val="0"/>
          <w:numId w:val="1020"/>
        </w:numPr>
      </w:pPr>
      <w:r>
        <w:t xml:space="preserve">Acta de Asamblea 9 de marzo 2026 (protocolizada)</w:t>
      </w:r>
    </w:p>
    <w:p>
      <w:pPr>
        <w:pStyle w:val="Compact"/>
        <w:numPr>
          <w:ilvl w:val="0"/>
          <w:numId w:val="1021"/>
        </w:numPr>
      </w:pPr>
      <w:r>
        <w:t xml:space="preserve">Convocatoria 19 de febrero 2026</w:t>
      </w:r>
    </w:p>
    <w:p>
      <w:pPr>
        <w:pStyle w:val="Compact"/>
        <w:numPr>
          <w:ilvl w:val="0"/>
          <w:numId w:val="1022"/>
        </w:numPr>
      </w:pPr>
      <w:r>
        <w:t xml:space="preserve">Estados de cuenta de morosidad</w:t>
      </w:r>
    </w:p>
    <w:p>
      <w:pPr>
        <w:pStyle w:val="Compact"/>
        <w:numPr>
          <w:ilvl w:val="0"/>
          <w:numId w:val="1023"/>
        </w:numPr>
      </w:pPr>
      <w:r>
        <w:t xml:space="preserve">Cálculo del Artículo 27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2026-05-22T22:35:25Z</dcterms:created>
  <dcterms:modified xsi:type="dcterms:W3CDTF">2026-05-22T22:35:25Z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