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77" w:lineRule="exact"/>
        <w:ind w:right="146"/>
      </w:pPr>
      <w:r>
        <w:rPr>
          <w:rFonts w:ascii="Times New Roman" w:eastAsia="Times New Roman"/>
          <w:spacing w:val="-2"/>
        </w:rPr>
        <w:t>2025</w:t>
      </w:r>
      <w:r>
        <w:rPr>
          <w:rFonts w:ascii="Times New Roman" w:eastAsia="Times New Roman"/>
          <w:spacing w:val="-6"/>
        </w:rPr>
        <w:t> </w:t>
      </w:r>
      <w:r>
        <w:rPr>
          <w:spacing w:val="-3"/>
        </w:rPr>
        <w:t>年高教社杯全国大学生数学建模竞赛题目</w:t>
      </w:r>
    </w:p>
    <w:p>
      <w:pPr>
        <w:spacing w:before="184"/>
        <w:ind w:left="0" w:right="138" w:firstLine="0"/>
        <w:jc w:val="center"/>
        <w:rPr>
          <w:sz w:val="28"/>
        </w:rPr>
      </w:pPr>
      <w:r>
        <w:rPr>
          <w:color w:val="0000CC"/>
          <w:spacing w:val="-4"/>
          <w:sz w:val="28"/>
        </w:rPr>
        <w:t>（</w:t>
      </w:r>
      <w:r>
        <w:rPr>
          <w:color w:val="0000CC"/>
          <w:spacing w:val="-5"/>
          <w:sz w:val="28"/>
        </w:rPr>
        <w:t>请先阅读“全国大学生数学建模竞赛论文格式规范”）</w:t>
      </w:r>
    </w:p>
    <w:p>
      <w:pPr>
        <w:pStyle w:val="BodyText"/>
        <w:spacing w:before="11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1142961</wp:posOffset>
                </wp:positionH>
                <wp:positionV relativeFrom="paragraph">
                  <wp:posOffset>153028</wp:posOffset>
                </wp:positionV>
                <wp:extent cx="5258435" cy="64769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258435" cy="647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8435" h="64769">
                              <a:moveTo>
                                <a:pt x="76" y="0"/>
                              </a:moveTo>
                              <a:lnTo>
                                <a:pt x="63" y="11429"/>
                              </a:lnTo>
                              <a:lnTo>
                                <a:pt x="5257838" y="19050"/>
                              </a:lnTo>
                              <a:lnTo>
                                <a:pt x="5257838" y="7620"/>
                              </a:lnTo>
                              <a:lnTo>
                                <a:pt x="76" y="0"/>
                              </a:lnTo>
                              <a:close/>
                            </a:path>
                            <a:path w="5258435" h="64769">
                              <a:moveTo>
                                <a:pt x="50" y="22860"/>
                              </a:moveTo>
                              <a:lnTo>
                                <a:pt x="0" y="57150"/>
                              </a:lnTo>
                              <a:lnTo>
                                <a:pt x="5257838" y="64770"/>
                              </a:lnTo>
                              <a:lnTo>
                                <a:pt x="5257838" y="30479"/>
                              </a:lnTo>
                              <a:lnTo>
                                <a:pt x="50" y="22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997002pt;margin-top:12.049482pt;width:414.05pt;height:5.1pt;mso-position-horizontal-relative:page;mso-position-vertical-relative:paragraph;z-index:-15728640;mso-wrap-distance-left:0;mso-wrap-distance-right:0" id="docshape1" coordorigin="1800,241" coordsize="8281,102" path="m1800,241l1800,259,10080,271,10080,253,1800,241xm1800,277l1800,331,10080,343,10080,289,1800,2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"/>
        <w:ind w:left="0"/>
        <w:rPr>
          <w:sz w:val="28"/>
        </w:rPr>
      </w:pPr>
    </w:p>
    <w:p>
      <w:pPr>
        <w:pStyle w:val="Heading1"/>
        <w:tabs>
          <w:tab w:pos="818" w:val="left" w:leader="none"/>
        </w:tabs>
      </w:pPr>
      <w:r>
        <w:rPr>
          <w:rFonts w:ascii="Times New Roman" w:eastAsia="Times New Roman"/>
        </w:rPr>
        <w:t>B</w:t>
      </w:r>
      <w:r>
        <w:rPr>
          <w:rFonts w:ascii="Times New Roman" w:eastAsia="Times New Roman"/>
          <w:spacing w:val="-2"/>
        </w:rPr>
        <w:t> </w:t>
      </w:r>
      <w:r>
        <w:rPr>
          <w:spacing w:val="-10"/>
        </w:rPr>
        <w:t>题</w:t>
      </w:r>
      <w:r>
        <w:rPr/>
        <w:tab/>
      </w:r>
      <w:r>
        <w:rPr>
          <w:spacing w:val="-2"/>
        </w:rPr>
        <w:t>碳化硅外延层厚度的确</w:t>
      </w:r>
      <w:r>
        <w:rPr>
          <w:spacing w:val="-10"/>
        </w:rPr>
        <w:t>定</w:t>
      </w:r>
    </w:p>
    <w:p>
      <w:pPr>
        <w:pStyle w:val="BodyText"/>
        <w:spacing w:line="278" w:lineRule="auto" w:before="246"/>
        <w:ind w:right="134" w:firstLine="420"/>
      </w:pPr>
      <w:r>
        <w:rPr>
          <w:spacing w:val="-7"/>
        </w:rPr>
        <w:t>碳化硅作为一种新兴的第三代半导体材料，以其优越的综合性能表现正在受到越来越多</w:t>
      </w:r>
      <w:r>
        <w:rPr>
          <w:spacing w:val="-2"/>
        </w:rPr>
        <w:t>的关注。碳化硅外延层的厚度是外延材料的关键参数之一，对器件性能有重要影响。因此，制定一套科学、准确、可靠的碳化硅外延层厚度测试标准显得尤为重要。</w:t>
      </w:r>
    </w:p>
    <w:p>
      <w:pPr>
        <w:pStyle w:val="BodyText"/>
        <w:spacing w:line="278" w:lineRule="auto"/>
        <w:ind w:right="237" w:firstLine="420"/>
        <w:jc w:val="both"/>
      </w:pPr>
      <w:r>
        <w:rPr>
          <w:spacing w:val="-4"/>
        </w:rPr>
        <w:t>红外干涉法是外延层厚度测量的无损伤测量方法，其工作原理是，外延层与衬底因掺杂载流子浓度的不同而有不同的折射率，红外光入射到外延层后，一部分从外延层表面反射出</w:t>
      </w:r>
      <w:r>
        <w:rPr>
          <w:spacing w:val="-8"/>
        </w:rPr>
        <w:t>来，另一部分从衬底表面反射回来（图 </w:t>
      </w:r>
      <w:r>
        <w:rPr>
          <w:rFonts w:ascii="Times New Roman" w:eastAsia="Times New Roman"/>
          <w:spacing w:val="39"/>
        </w:rPr>
        <w:t>1</w:t>
      </w:r>
      <w:r>
        <w:rPr>
          <w:spacing w:val="-66"/>
        </w:rPr>
        <w:t>）</w:t>
      </w:r>
      <w:r>
        <w:rPr>
          <w:spacing w:val="-8"/>
        </w:rPr>
        <w:t>，这两束光在一定条件下会产生干涉条纹。可根据</w:t>
      </w:r>
      <w:r>
        <w:rPr>
          <w:spacing w:val="-2"/>
        </w:rPr>
        <w:t>红外光谱的波长、外延层的折射率和红外光的入射角等参数确定外延层的厚度。</w:t>
      </w:r>
    </w:p>
    <w:p>
      <w:pPr>
        <w:pStyle w:val="BodyText"/>
        <w:spacing w:line="269" w:lineRule="exact"/>
        <w:ind w:left="520"/>
      </w:pPr>
      <w:r>
        <w:rPr>
          <w:spacing w:val="-1"/>
        </w:rPr>
        <w:t>通常外延层的折射率不是常数，它与掺杂载流子的浓度、红外光谱的波长等参数有关。</w:t>
      </w:r>
    </w:p>
    <w:p>
      <w:pPr>
        <w:pStyle w:val="BodyText"/>
        <w:spacing w:before="3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1427480</wp:posOffset>
            </wp:positionH>
            <wp:positionV relativeFrom="paragraph">
              <wp:posOffset>115300</wp:posOffset>
            </wp:positionV>
            <wp:extent cx="4740574" cy="245602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0574" cy="2456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578" w:val="left" w:leader="none"/>
        </w:tabs>
        <w:spacing w:before="50"/>
        <w:ind w:left="0" w:right="137"/>
        <w:jc w:val="center"/>
      </w:pPr>
      <w:r>
        <w:rPr/>
        <w:t>图</w:t>
      </w:r>
      <w:r>
        <w:rPr>
          <w:spacing w:val="-53"/>
        </w:rPr>
        <w:t> </w:t>
      </w:r>
      <w:r>
        <w:rPr>
          <w:rFonts w:ascii="Times New Roman" w:eastAsia="Times New Roman"/>
          <w:spacing w:val="-10"/>
        </w:rPr>
        <w:t>1</w:t>
      </w:r>
      <w:r>
        <w:rPr>
          <w:rFonts w:ascii="Times New Roman" w:eastAsia="Times New Roman"/>
        </w:rPr>
        <w:tab/>
      </w:r>
      <w:r>
        <w:rPr>
          <w:spacing w:val="-2"/>
        </w:rPr>
        <w:t>外延层厚度测量原理的示意</w:t>
      </w:r>
      <w:r>
        <w:rPr>
          <w:spacing w:val="-10"/>
        </w:rPr>
        <w:t>图</w:t>
      </w:r>
    </w:p>
    <w:p>
      <w:pPr>
        <w:pStyle w:val="BodyText"/>
        <w:spacing w:before="16"/>
        <w:ind w:left="0"/>
      </w:pPr>
    </w:p>
    <w:p>
      <w:pPr>
        <w:pStyle w:val="BodyText"/>
        <w:tabs>
          <w:tab w:pos="1313" w:val="left" w:leader="none"/>
        </w:tabs>
        <w:spacing w:line="384" w:lineRule="exact" w:before="1"/>
        <w:ind w:left="522"/>
      </w:pPr>
      <w:r>
        <w:rPr>
          <w:rFonts w:ascii="Microsoft JhengHei" w:eastAsia="Microsoft JhengHei"/>
          <w:b/>
        </w:rPr>
        <w:t>问题</w:t>
      </w:r>
      <w:r>
        <w:rPr>
          <w:rFonts w:ascii="Microsoft JhengHei" w:eastAsia="Microsoft JhengHei"/>
          <w:b/>
          <w:spacing w:val="2"/>
        </w:rPr>
        <w:t> </w:t>
      </w:r>
      <w:r>
        <w:rPr>
          <w:rFonts w:ascii="Times New Roman" w:eastAsia="Times New Roman"/>
          <w:b/>
          <w:spacing w:val="-10"/>
        </w:rPr>
        <w:t>1</w:t>
      </w:r>
      <w:r>
        <w:rPr>
          <w:rFonts w:ascii="Times New Roman" w:eastAsia="Times New Roman"/>
          <w:b/>
        </w:rPr>
        <w:tab/>
      </w:r>
      <w:r>
        <w:rPr>
          <w:spacing w:val="-2"/>
        </w:rPr>
        <w:t>如果考虑外延层和衬底界面只有一次反射、透射所产生的干涉条纹的情形（</w:t>
      </w:r>
      <w:r>
        <w:rPr>
          <w:spacing w:val="-10"/>
        </w:rPr>
        <w:t>图</w:t>
      </w: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53" w:lineRule="exact" w:before="0" w:after="0"/>
        <w:ind w:left="310" w:right="0" w:hanging="210"/>
        <w:jc w:val="left"/>
        <w:rPr>
          <w:sz w:val="21"/>
        </w:rPr>
      </w:pPr>
      <w:r>
        <w:rPr>
          <w:spacing w:val="-3"/>
          <w:sz w:val="21"/>
        </w:rPr>
        <w:t>，建立确定外延层厚度的数学模型。</w:t>
      </w:r>
    </w:p>
    <w:p>
      <w:pPr>
        <w:pStyle w:val="BodyText"/>
        <w:spacing w:line="235" w:lineRule="auto"/>
        <w:ind w:right="236" w:firstLine="422"/>
        <w:jc w:val="both"/>
      </w:pPr>
      <w:r>
        <w:rPr>
          <w:rFonts w:ascii="Microsoft JhengHei" w:eastAsia="Microsoft JhengHei"/>
          <w:b/>
          <w:spacing w:val="-5"/>
        </w:rPr>
        <w:t>问题 </w:t>
      </w:r>
      <w:r>
        <w:rPr>
          <w:rFonts w:ascii="Times New Roman" w:eastAsia="Times New Roman"/>
          <w:b/>
        </w:rPr>
        <w:t>2</w:t>
      </w:r>
      <w:r>
        <w:rPr>
          <w:rFonts w:ascii="Times New Roman" w:eastAsia="Times New Roman"/>
          <w:b/>
          <w:spacing w:val="38"/>
        </w:rPr>
        <w:t> </w:t>
      </w:r>
      <w:r>
        <w:rPr>
          <w:spacing w:val="-5"/>
        </w:rPr>
        <w:t>请根据问题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6"/>
        </w:rPr>
        <w:t> </w:t>
      </w:r>
      <w:r>
        <w:rPr>
          <w:spacing w:val="-2"/>
        </w:rPr>
        <w:t>的数学模型，设计确定外延层厚度的算法。对附件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6"/>
        </w:rPr>
        <w:t> </w:t>
      </w:r>
      <w:r>
        <w:rPr>
          <w:spacing w:val="-7"/>
        </w:rPr>
        <w:t>和附件 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6"/>
        </w:rPr>
        <w:t> </w:t>
      </w:r>
      <w:r>
        <w:rPr/>
        <w:t>提</w:t>
      </w:r>
      <w:r>
        <w:rPr>
          <w:spacing w:val="-2"/>
        </w:rPr>
        <w:t>供的碳化硅晶圆片的光谱实测数据，给出计算结果，并分析结果的可靠性。</w:t>
      </w:r>
    </w:p>
    <w:p>
      <w:pPr>
        <w:pStyle w:val="BodyText"/>
        <w:spacing w:line="312" w:lineRule="exact"/>
        <w:ind w:right="237" w:firstLine="422"/>
        <w:jc w:val="both"/>
      </w:pPr>
      <w:r>
        <w:rPr>
          <w:rFonts w:ascii="Microsoft JhengHei" w:eastAsia="Microsoft JhengHei"/>
          <w:b/>
          <w:spacing w:val="-5"/>
        </w:rPr>
        <w:t>问题 </w:t>
      </w:r>
      <w:r>
        <w:rPr>
          <w:rFonts w:ascii="Times New Roman" w:eastAsia="Times New Roman"/>
          <w:b/>
        </w:rPr>
        <w:t>3</w:t>
      </w:r>
      <w:r>
        <w:rPr>
          <w:rFonts w:ascii="Times New Roman" w:eastAsia="Times New Roman"/>
          <w:b/>
          <w:spacing w:val="68"/>
        </w:rPr>
        <w:t> </w:t>
      </w:r>
      <w:r>
        <w:rPr/>
        <w:t>光波可以在外延层界面和衬底界面产生多次反射和透射（</w:t>
      </w:r>
      <w:r>
        <w:rPr>
          <w:spacing w:val="-14"/>
        </w:rPr>
        <w:t>图 </w:t>
      </w:r>
      <w:r>
        <w:rPr>
          <w:rFonts w:ascii="Times New Roman" w:eastAsia="Times New Roman"/>
        </w:rPr>
        <w:t>2</w:t>
      </w:r>
      <w:r>
        <w:rPr>
          <w:spacing w:val="-105"/>
        </w:rPr>
        <w:t>）</w:t>
      </w:r>
      <w:r>
        <w:rPr>
          <w:spacing w:val="-9"/>
        </w:rPr>
        <w:t>，从而产生多光</w:t>
      </w:r>
      <w:r>
        <w:rPr>
          <w:spacing w:val="-4"/>
        </w:rPr>
        <w:t>束干涉。请推导产生多光束干涉的必要条件，以及多光束干涉对外延层厚度计算精度可能产</w:t>
      </w:r>
      <w:r>
        <w:rPr>
          <w:spacing w:val="-2"/>
        </w:rPr>
        <w:t>生的影响。</w:t>
      </w:r>
    </w:p>
    <w:p>
      <w:pPr>
        <w:pStyle w:val="BodyText"/>
        <w:spacing w:line="278" w:lineRule="auto" w:before="38"/>
        <w:ind w:right="239" w:firstLine="420"/>
        <w:jc w:val="both"/>
      </w:pPr>
      <w:r>
        <w:rPr>
          <w:spacing w:val="-2"/>
        </w:rPr>
        <w:t>请根据多光束干涉的必要条件，分析附件 </w:t>
      </w:r>
      <w:r>
        <w:rPr>
          <w:rFonts w:ascii="Times New Roman" w:eastAsia="Times New Roman"/>
        </w:rPr>
        <w:t>3</w:t>
      </w:r>
      <w:r>
        <w:rPr>
          <w:rFonts w:ascii="Times New Roman" w:eastAsia="Times New Roman"/>
          <w:spacing w:val="9"/>
        </w:rPr>
        <w:t> </w:t>
      </w:r>
      <w:r>
        <w:rPr>
          <w:spacing w:val="-7"/>
        </w:rPr>
        <w:t>和附件 </w:t>
      </w:r>
      <w:r>
        <w:rPr>
          <w:rFonts w:ascii="Times New Roman" w:eastAsia="Times New Roman"/>
        </w:rPr>
        <w:t>4</w:t>
      </w:r>
      <w:r>
        <w:rPr>
          <w:rFonts w:ascii="Times New Roman" w:eastAsia="Times New Roman"/>
          <w:spacing w:val="21"/>
        </w:rPr>
        <w:t> </w:t>
      </w:r>
      <w:r>
        <w:rPr/>
        <w:t>提供的硅晶圆片的测试结果是否</w:t>
      </w:r>
      <w:r>
        <w:rPr>
          <w:spacing w:val="-2"/>
        </w:rPr>
        <w:t>出现多光束干涉，给出确定硅外延层厚度计算的数学模型和算法，以及相应的计算结果。</w:t>
      </w:r>
    </w:p>
    <w:p>
      <w:pPr>
        <w:pStyle w:val="BodyText"/>
        <w:spacing w:line="278" w:lineRule="auto"/>
        <w:ind w:right="238" w:firstLine="420"/>
        <w:jc w:val="both"/>
      </w:pPr>
      <w:r>
        <w:rPr>
          <w:spacing w:val="-16"/>
        </w:rPr>
        <w:t>如果你们认为，多光束干涉也会出现在碳化硅晶圆片的测试结果</w:t>
      </w:r>
      <w:r>
        <w:rPr>
          <w:spacing w:val="-4"/>
        </w:rPr>
        <w:t>（</w:t>
      </w:r>
      <w:r>
        <w:rPr>
          <w:spacing w:val="-11"/>
        </w:rPr>
        <w:t>附件 </w:t>
      </w:r>
      <w:r>
        <w:rPr>
          <w:rFonts w:ascii="Times New Roman" w:eastAsia="Times New Roman"/>
          <w:spacing w:val="-4"/>
        </w:rPr>
        <w:t>1</w:t>
      </w:r>
      <w:r>
        <w:rPr>
          <w:rFonts w:ascii="Times New Roman" w:eastAsia="Times New Roman"/>
          <w:spacing w:val="-9"/>
        </w:rPr>
        <w:t> </w:t>
      </w:r>
      <w:r>
        <w:rPr>
          <w:spacing w:val="-9"/>
        </w:rPr>
        <w:t>和附件 </w:t>
      </w:r>
      <w:r>
        <w:rPr>
          <w:rFonts w:ascii="Times New Roman" w:eastAsia="Times New Roman"/>
          <w:spacing w:val="-4"/>
        </w:rPr>
        <w:t>2</w:t>
      </w:r>
      <w:r>
        <w:rPr>
          <w:spacing w:val="-4"/>
        </w:rPr>
        <w:t>）中，</w:t>
      </w:r>
      <w:r>
        <w:rPr>
          <w:spacing w:val="-4"/>
        </w:rPr>
        <w:t>从而影响到碳化硅外延层厚度计算的精度，请设法消除其影响，并给出消除影响后的计算结</w:t>
      </w:r>
      <w:r>
        <w:rPr>
          <w:spacing w:val="-6"/>
        </w:rPr>
        <w:t>果。</w:t>
      </w:r>
    </w:p>
    <w:p>
      <w:pPr>
        <w:pStyle w:val="BodyText"/>
        <w:spacing w:after="0" w:line="278" w:lineRule="auto"/>
        <w:jc w:val="both"/>
        <w:sectPr>
          <w:type w:val="continuous"/>
          <w:pgSz w:w="11910" w:h="16840"/>
          <w:pgMar w:top="1500" w:bottom="280" w:left="1700" w:right="1559"/>
        </w:sectPr>
      </w:pPr>
    </w:p>
    <w:p>
      <w:pPr>
        <w:pStyle w:val="BodyText"/>
        <w:ind w:left="1478"/>
        <w:rPr>
          <w:sz w:val="20"/>
        </w:rPr>
      </w:pPr>
      <w:r>
        <w:rPr>
          <w:sz w:val="20"/>
        </w:rPr>
        <w:drawing>
          <wp:inline distT="0" distB="0" distL="0" distR="0">
            <wp:extent cx="3556119" cy="191471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119" cy="191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tabs>
          <w:tab w:pos="578" w:val="left" w:leader="none"/>
        </w:tabs>
        <w:spacing w:before="159"/>
        <w:ind w:left="0" w:right="137"/>
        <w:jc w:val="center"/>
      </w:pPr>
      <w:r>
        <w:rPr/>
        <w:t>图</w:t>
      </w:r>
      <w:r>
        <w:rPr>
          <w:spacing w:val="-52"/>
        </w:rPr>
        <w:t> </w:t>
      </w:r>
      <w:r>
        <w:rPr>
          <w:rFonts w:ascii="Times New Roman" w:eastAsia="Times New Roman"/>
          <w:spacing w:val="-10"/>
        </w:rPr>
        <w:t>2</w:t>
      </w:r>
      <w:r>
        <w:rPr>
          <w:rFonts w:ascii="Times New Roman" w:eastAsia="Times New Roman"/>
        </w:rPr>
        <w:tab/>
      </w:r>
      <w:r>
        <w:rPr>
          <w:spacing w:val="-2"/>
        </w:rPr>
        <w:t>多光束干涉的示意</w:t>
      </w:r>
      <w:r>
        <w:rPr>
          <w:spacing w:val="-10"/>
        </w:rPr>
        <w:t>图</w:t>
      </w:r>
    </w:p>
    <w:p>
      <w:pPr>
        <w:pStyle w:val="BodyText"/>
        <w:spacing w:before="17"/>
        <w:ind w:left="0"/>
      </w:pPr>
    </w:p>
    <w:p>
      <w:pPr>
        <w:spacing w:line="384" w:lineRule="exact" w:before="0"/>
        <w:ind w:left="100" w:right="0" w:firstLine="0"/>
        <w:jc w:val="left"/>
        <w:rPr>
          <w:rFonts w:ascii="Microsoft JhengHei" w:eastAsia="Microsoft JhengHei"/>
          <w:b/>
          <w:sz w:val="21"/>
        </w:rPr>
      </w:pPr>
      <w:r>
        <w:rPr>
          <w:rFonts w:ascii="Microsoft JhengHei" w:eastAsia="Microsoft JhengHei"/>
          <w:b/>
          <w:spacing w:val="-3"/>
          <w:sz w:val="21"/>
        </w:rPr>
        <w:t>附件说明</w:t>
      </w:r>
    </w:p>
    <w:p>
      <w:pPr>
        <w:pStyle w:val="ListParagraph"/>
        <w:numPr>
          <w:ilvl w:val="1"/>
          <w:numId w:val="1"/>
        </w:numPr>
        <w:tabs>
          <w:tab w:pos="868" w:val="left" w:leader="none"/>
        </w:tabs>
        <w:spacing w:line="278" w:lineRule="auto" w:before="0" w:after="0"/>
        <w:ind w:left="100" w:right="239" w:firstLine="420"/>
        <w:jc w:val="left"/>
        <w:rPr>
          <w:sz w:val="21"/>
        </w:rPr>
      </w:pPr>
      <w:r>
        <w:rPr>
          <w:spacing w:val="-16"/>
          <w:sz w:val="21"/>
        </w:rPr>
        <w:t>附件 </w:t>
      </w:r>
      <w:r>
        <w:rPr>
          <w:rFonts w:ascii="Times New Roman" w:hAnsi="Times New Roman" w:eastAsia="Times New Roman"/>
          <w:sz w:val="21"/>
        </w:rPr>
        <w:t>1.xlsx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spacing w:val="-13"/>
          <w:sz w:val="21"/>
        </w:rPr>
        <w:t>和附件 </w:t>
      </w:r>
      <w:r>
        <w:rPr>
          <w:rFonts w:ascii="Times New Roman" w:hAnsi="Times New Roman" w:eastAsia="Times New Roman"/>
          <w:sz w:val="21"/>
        </w:rPr>
        <w:t>2.xlsx </w:t>
      </w:r>
      <w:r>
        <w:rPr>
          <w:spacing w:val="-1"/>
          <w:sz w:val="21"/>
        </w:rPr>
        <w:t>是入射角分别为 </w:t>
      </w:r>
      <w:r>
        <w:rPr>
          <w:rFonts w:ascii="Cambria Math" w:hAnsi="Cambria Math" w:eastAsia="Cambria Math"/>
          <w:sz w:val="21"/>
        </w:rPr>
        <w:t>10°</w:t>
      </w:r>
      <w:r>
        <w:rPr>
          <w:rFonts w:ascii="Cambria Math" w:hAnsi="Cambria Math" w:eastAsia="Cambria Math"/>
          <w:spacing w:val="40"/>
          <w:sz w:val="21"/>
        </w:rPr>
        <w:t> </w:t>
      </w:r>
      <w:r>
        <w:rPr>
          <w:spacing w:val="-4"/>
          <w:sz w:val="21"/>
        </w:rPr>
        <w:t>和 </w:t>
      </w:r>
      <w:r>
        <w:rPr>
          <w:rFonts w:ascii="Cambria Math" w:hAnsi="Cambria Math" w:eastAsia="Cambria Math"/>
          <w:sz w:val="21"/>
        </w:rPr>
        <w:t>15</w:t>
      </w:r>
      <w:r>
        <w:rPr>
          <w:rFonts w:ascii="Cambria Math" w:hAnsi="Cambria Math" w:eastAsia="Cambria Math"/>
          <w:spacing w:val="20"/>
          <w:sz w:val="21"/>
        </w:rPr>
        <w:t>° </w:t>
      </w:r>
      <w:r>
        <w:rPr>
          <w:sz w:val="21"/>
        </w:rPr>
        <w:t>时针对同一块碳化硅晶圆片</w:t>
      </w:r>
      <w:r>
        <w:rPr>
          <w:spacing w:val="-12"/>
          <w:sz w:val="21"/>
        </w:rPr>
        <w:t>的测试结果，其中第 </w:t>
      </w:r>
      <w:r>
        <w:rPr>
          <w:rFonts w:ascii="Times New Roman" w:hAnsi="Times New Roman" w:eastAsia="Times New Roman"/>
          <w:spacing w:val="-8"/>
          <w:sz w:val="21"/>
        </w:rPr>
        <w:t>1</w:t>
      </w:r>
      <w:r>
        <w:rPr>
          <w:rFonts w:ascii="Times New Roman" w:hAnsi="Times New Roman" w:eastAsia="Times New Roman"/>
          <w:sz w:val="21"/>
        </w:rPr>
        <w:t> </w:t>
      </w:r>
      <w:r>
        <w:rPr>
          <w:spacing w:val="-8"/>
          <w:sz w:val="21"/>
        </w:rPr>
        <w:t>列为波数（单位</w:t>
      </w:r>
      <w:r>
        <w:rPr>
          <w:spacing w:val="-7"/>
          <w:w w:val="97"/>
          <w:sz w:val="21"/>
        </w:rPr>
        <w:t>：</w:t>
      </w:r>
      <w:r>
        <w:rPr>
          <w:rFonts w:ascii="Cambria Math" w:hAnsi="Cambria Math" w:eastAsia="Cambria Math"/>
          <w:spacing w:val="10"/>
          <w:w w:val="97"/>
          <w:sz w:val="21"/>
        </w:rPr>
        <w:t>c</w:t>
      </w:r>
      <w:r>
        <w:rPr>
          <w:rFonts w:ascii="Cambria Math" w:hAnsi="Cambria Math" w:eastAsia="Cambria Math"/>
          <w:spacing w:val="11"/>
          <w:w w:val="97"/>
          <w:sz w:val="21"/>
        </w:rPr>
        <w:t>m</w:t>
      </w:r>
      <w:r>
        <w:rPr>
          <w:rFonts w:ascii="Cambria Math" w:hAnsi="Cambria Math" w:eastAsia="Cambria Math"/>
          <w:spacing w:val="11"/>
          <w:w w:val="101"/>
          <w:sz w:val="21"/>
          <w:vertAlign w:val="superscript"/>
        </w:rPr>
        <w:t>−</w:t>
      </w:r>
      <w:r>
        <w:rPr>
          <w:rFonts w:ascii="Cambria Math" w:hAnsi="Cambria Math" w:eastAsia="Cambria Math"/>
          <w:spacing w:val="19"/>
          <w:w w:val="108"/>
          <w:sz w:val="21"/>
          <w:vertAlign w:val="superscript"/>
        </w:rPr>
        <w:t>1</w:t>
      </w:r>
      <w:r>
        <w:rPr>
          <w:spacing w:val="-94"/>
          <w:w w:val="97"/>
          <w:sz w:val="21"/>
          <w:vertAlign w:val="baseline"/>
        </w:rPr>
        <w:t>）</w:t>
      </w:r>
      <w:r>
        <w:rPr>
          <w:spacing w:val="-9"/>
          <w:w w:val="97"/>
          <w:sz w:val="21"/>
          <w:vertAlign w:val="baseline"/>
        </w:rPr>
        <w:t>，</w:t>
      </w:r>
      <w:r>
        <w:rPr>
          <w:spacing w:val="-27"/>
          <w:sz w:val="21"/>
          <w:vertAlign w:val="baseline"/>
        </w:rPr>
        <w:t>第 </w:t>
      </w:r>
      <w:r>
        <w:rPr>
          <w:rFonts w:ascii="Times New Roman" w:hAnsi="Times New Roman" w:eastAsia="Times New Roman"/>
          <w:spacing w:val="-8"/>
          <w:sz w:val="21"/>
          <w:vertAlign w:val="baseline"/>
        </w:rPr>
        <w:t>2</w:t>
      </w:r>
      <w:r>
        <w:rPr>
          <w:rFonts w:ascii="Times New Roman" w:hAnsi="Times New Roman" w:eastAsia="Times New Roman"/>
          <w:sz w:val="21"/>
          <w:vertAlign w:val="baseline"/>
        </w:rPr>
        <w:t> </w:t>
      </w:r>
      <w:r>
        <w:rPr>
          <w:spacing w:val="-8"/>
          <w:sz w:val="21"/>
          <w:vertAlign w:val="baseline"/>
        </w:rPr>
        <w:t>列为干涉光谱的反射率（</w:t>
      </w:r>
      <w:r>
        <w:rPr>
          <w:spacing w:val="-1"/>
          <w:sz w:val="21"/>
          <w:vertAlign w:val="baseline"/>
        </w:rPr>
        <w:t>单位：</w:t>
      </w:r>
      <w:r>
        <w:rPr>
          <w:rFonts w:ascii="Times New Roman" w:hAnsi="Times New Roman" w:eastAsia="Times New Roman"/>
          <w:spacing w:val="32"/>
          <w:sz w:val="21"/>
          <w:vertAlign w:val="baseline"/>
        </w:rPr>
        <w:t>%</w:t>
      </w:r>
      <w:r>
        <w:rPr>
          <w:spacing w:val="-73"/>
          <w:sz w:val="21"/>
          <w:vertAlign w:val="baseline"/>
        </w:rPr>
        <w:t>）</w:t>
      </w:r>
      <w:r>
        <w:rPr>
          <w:spacing w:val="-8"/>
          <w:sz w:val="21"/>
          <w:vertAlign w:val="baseline"/>
        </w:rPr>
        <w:t>。</w:t>
      </w:r>
    </w:p>
    <w:p>
      <w:pPr>
        <w:pStyle w:val="ListParagraph"/>
        <w:numPr>
          <w:ilvl w:val="1"/>
          <w:numId w:val="1"/>
        </w:numPr>
        <w:tabs>
          <w:tab w:pos="868" w:val="left" w:leader="none"/>
        </w:tabs>
        <w:spacing w:line="278" w:lineRule="auto" w:before="0" w:after="0"/>
        <w:ind w:left="100" w:right="239" w:firstLine="420"/>
        <w:jc w:val="left"/>
        <w:rPr>
          <w:sz w:val="21"/>
        </w:rPr>
      </w:pPr>
      <w:r>
        <w:rPr>
          <w:spacing w:val="-16"/>
          <w:sz w:val="21"/>
        </w:rPr>
        <w:t>附件 </w:t>
      </w:r>
      <w:r>
        <w:rPr>
          <w:rFonts w:ascii="Times New Roman" w:hAnsi="Times New Roman" w:eastAsia="Times New Roman"/>
          <w:sz w:val="21"/>
        </w:rPr>
        <w:t>3.xlsx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spacing w:val="-13"/>
          <w:sz w:val="21"/>
        </w:rPr>
        <w:t>和附件 </w:t>
      </w:r>
      <w:r>
        <w:rPr>
          <w:rFonts w:ascii="Times New Roman" w:hAnsi="Times New Roman" w:eastAsia="Times New Roman"/>
          <w:sz w:val="21"/>
        </w:rPr>
        <w:t>4.xlsx </w:t>
      </w:r>
      <w:r>
        <w:rPr>
          <w:spacing w:val="-1"/>
          <w:sz w:val="21"/>
        </w:rPr>
        <w:t>是入射角分别为 </w:t>
      </w:r>
      <w:r>
        <w:rPr>
          <w:rFonts w:ascii="Cambria Math" w:hAnsi="Cambria Math" w:eastAsia="Cambria Math"/>
          <w:sz w:val="21"/>
        </w:rPr>
        <w:t>10</w:t>
      </w:r>
      <w:r>
        <w:rPr>
          <w:rFonts w:ascii="Cambria Math" w:hAnsi="Cambria Math" w:eastAsia="Cambria Math"/>
          <w:spacing w:val="20"/>
          <w:sz w:val="21"/>
        </w:rPr>
        <w:t>° </w:t>
      </w:r>
      <w:r>
        <w:rPr>
          <w:spacing w:val="-4"/>
          <w:sz w:val="21"/>
        </w:rPr>
        <w:t>和 </w:t>
      </w:r>
      <w:r>
        <w:rPr>
          <w:rFonts w:ascii="Cambria Math" w:hAnsi="Cambria Math" w:eastAsia="Cambria Math"/>
          <w:sz w:val="21"/>
        </w:rPr>
        <w:t>15</w:t>
      </w:r>
      <w:r>
        <w:rPr>
          <w:rFonts w:ascii="Cambria Math" w:hAnsi="Cambria Math" w:eastAsia="Cambria Math"/>
          <w:spacing w:val="20"/>
          <w:sz w:val="21"/>
        </w:rPr>
        <w:t>° </w:t>
      </w:r>
      <w:r>
        <w:rPr>
          <w:sz w:val="21"/>
        </w:rPr>
        <w:t>时针对同一块硅晶圆片的测</w:t>
      </w:r>
      <w:r>
        <w:rPr>
          <w:spacing w:val="-7"/>
          <w:sz w:val="21"/>
        </w:rPr>
        <w:t>试结果，其中第 </w:t>
      </w:r>
      <w:r>
        <w:rPr>
          <w:rFonts w:ascii="Times New Roman" w:hAnsi="Times New Roman" w:eastAsia="Times New Roman"/>
          <w:sz w:val="21"/>
        </w:rPr>
        <w:t>1</w:t>
      </w:r>
      <w:r>
        <w:rPr>
          <w:rFonts w:ascii="Times New Roman" w:hAnsi="Times New Roman" w:eastAsia="Times New Roman"/>
          <w:spacing w:val="-11"/>
          <w:sz w:val="21"/>
        </w:rPr>
        <w:t> </w:t>
      </w:r>
      <w:r>
        <w:rPr>
          <w:sz w:val="21"/>
        </w:rPr>
        <w:t>列为波数（单位</w:t>
      </w:r>
      <w:r>
        <w:rPr>
          <w:spacing w:val="14"/>
          <w:w w:val="97"/>
          <w:sz w:val="21"/>
        </w:rPr>
        <w:t>：</w:t>
      </w:r>
      <w:r>
        <w:rPr>
          <w:rFonts w:ascii="Cambria Math" w:hAnsi="Cambria Math" w:eastAsia="Cambria Math"/>
          <w:spacing w:val="13"/>
          <w:w w:val="97"/>
          <w:sz w:val="21"/>
        </w:rPr>
        <w:t>c</w:t>
      </w:r>
      <w:r>
        <w:rPr>
          <w:rFonts w:ascii="Cambria Math" w:hAnsi="Cambria Math" w:eastAsia="Cambria Math"/>
          <w:spacing w:val="14"/>
          <w:w w:val="97"/>
          <w:sz w:val="21"/>
        </w:rPr>
        <w:t>m</w:t>
      </w:r>
      <w:r>
        <w:rPr>
          <w:rFonts w:ascii="Cambria Math" w:hAnsi="Cambria Math" w:eastAsia="Cambria Math"/>
          <w:spacing w:val="14"/>
          <w:w w:val="101"/>
          <w:sz w:val="21"/>
          <w:vertAlign w:val="superscript"/>
        </w:rPr>
        <w:t>−</w:t>
      </w:r>
      <w:r>
        <w:rPr>
          <w:rFonts w:ascii="Cambria Math" w:hAnsi="Cambria Math" w:eastAsia="Cambria Math"/>
          <w:spacing w:val="22"/>
          <w:w w:val="108"/>
          <w:sz w:val="21"/>
          <w:vertAlign w:val="superscript"/>
        </w:rPr>
        <w:t>1</w:t>
      </w:r>
      <w:r>
        <w:rPr>
          <w:spacing w:val="-91"/>
          <w:w w:val="97"/>
          <w:sz w:val="21"/>
          <w:vertAlign w:val="baseline"/>
        </w:rPr>
        <w:t>）</w:t>
      </w:r>
      <w:r>
        <w:rPr>
          <w:spacing w:val="14"/>
          <w:w w:val="97"/>
          <w:sz w:val="21"/>
          <w:vertAlign w:val="baseline"/>
        </w:rPr>
        <w:t>，</w:t>
      </w:r>
      <w:r>
        <w:rPr>
          <w:spacing w:val="-27"/>
          <w:sz w:val="21"/>
          <w:vertAlign w:val="baseline"/>
        </w:rPr>
        <w:t>第 </w:t>
      </w:r>
      <w:r>
        <w:rPr>
          <w:rFonts w:ascii="Times New Roman" w:hAnsi="Times New Roman" w:eastAsia="Times New Roman"/>
          <w:sz w:val="21"/>
          <w:vertAlign w:val="baseline"/>
        </w:rPr>
        <w:t>2</w:t>
      </w:r>
      <w:r>
        <w:rPr>
          <w:rFonts w:ascii="Times New Roman" w:hAnsi="Times New Roman" w:eastAsia="Times New Roman"/>
          <w:spacing w:val="-3"/>
          <w:sz w:val="21"/>
          <w:vertAlign w:val="baseline"/>
        </w:rPr>
        <w:t> </w:t>
      </w:r>
      <w:r>
        <w:rPr>
          <w:sz w:val="21"/>
          <w:vertAlign w:val="baseline"/>
        </w:rPr>
        <w:t>列为干涉光谱的反射率（</w:t>
      </w:r>
      <w:r>
        <w:rPr>
          <w:spacing w:val="11"/>
          <w:sz w:val="21"/>
          <w:vertAlign w:val="baseline"/>
        </w:rPr>
        <w:t>单位：</w:t>
      </w:r>
      <w:r>
        <w:rPr>
          <w:rFonts w:ascii="Times New Roman" w:hAnsi="Times New Roman" w:eastAsia="Times New Roman"/>
          <w:spacing w:val="35"/>
          <w:sz w:val="21"/>
          <w:vertAlign w:val="baseline"/>
        </w:rPr>
        <w:t>%</w:t>
      </w:r>
      <w:r>
        <w:rPr>
          <w:spacing w:val="-70"/>
          <w:sz w:val="21"/>
          <w:vertAlign w:val="baseline"/>
        </w:rPr>
        <w:t>）</w:t>
      </w:r>
      <w:r>
        <w:rPr>
          <w:sz w:val="21"/>
          <w:vertAlign w:val="baseline"/>
        </w:rPr>
        <w:t>。</w:t>
      </w:r>
    </w:p>
    <w:sectPr>
      <w:pgSz w:w="11910" w:h="16840"/>
      <w:pgMar w:top="170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）"/>
      <w:lvlJc w:val="left"/>
      <w:pPr>
        <w:ind w:left="417" w:hanging="3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05"/>
        <w:w w:val="100"/>
        <w:sz w:val="19"/>
        <w:szCs w:val="19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100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1"/>
        <w:szCs w:val="21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334" w:hanging="35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248" w:hanging="35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162" w:hanging="35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076" w:hanging="35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4990" w:hanging="35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5904" w:hanging="35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6819" w:hanging="351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SimSun" w:hAnsi="SimSun" w:eastAsia="SimSun" w:cs="SimSun"/>
      <w:sz w:val="21"/>
      <w:szCs w:val="21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right="139"/>
      <w:jc w:val="center"/>
      <w:outlineLvl w:val="1"/>
    </w:pPr>
    <w:rPr>
      <w:rFonts w:ascii="Microsoft JhengHei" w:hAnsi="Microsoft JhengHei" w:eastAsia="Microsoft JhengHei" w:cs="Microsoft JhengHei"/>
      <w:b/>
      <w:bCs/>
      <w:sz w:val="28"/>
      <w:szCs w:val="28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100" w:right="239" w:firstLine="420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</dc:creator>
  <dcterms:created xsi:type="dcterms:W3CDTF">2025-09-04T11:31:15Z</dcterms:created>
  <dcterms:modified xsi:type="dcterms:W3CDTF">2025-09-04T11:31:15Z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2025-09-04T00:00:00Z</vt:filetime>
  </property>
  <property fmtid="{D5CDD505-2E9C-101B-9397-08002B2CF9AE}" pid="5" name="Producer">
    <vt:lpwstr>Microsoft® Word LTSC</vt:lpwstr>
  </property>
</Properties>
</file>