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7503A" w14:textId="2D7BCC67" w:rsidR="009636A2" w:rsidRPr="00831853" w:rsidRDefault="00000000">
      <w:pPr>
        <w:pStyle w:val="aa"/>
        <w:rPr>
          <w:rFonts w:eastAsia="宋体" w:hint="eastAsia"/>
          <w:lang w:eastAsia="zh-CN"/>
        </w:rPr>
      </w:pPr>
      <w:r>
        <w:t xml:space="preserve">Corporate Governance and Sustainability Research Proposal </w:t>
      </w:r>
    </w:p>
    <w:p w14:paraId="586D9B0F" w14:textId="77777777" w:rsidR="009636A2" w:rsidRDefault="00000000">
      <w:pPr>
        <w:pStyle w:val="1"/>
      </w:pPr>
      <w:r>
        <w:t>1. Title</w:t>
      </w:r>
    </w:p>
    <w:p w14:paraId="7FE26E0E" w14:textId="67E2F988" w:rsidR="009636A2" w:rsidRDefault="00831853">
      <w:r w:rsidRPr="00831853">
        <w:t>Board Diversity and ESG Performance: Evidence from Chinese Listed Firms</w:t>
      </w:r>
    </w:p>
    <w:p w14:paraId="2CA50699" w14:textId="77777777" w:rsidR="009636A2" w:rsidRDefault="00000000">
      <w:pPr>
        <w:pStyle w:val="1"/>
      </w:pPr>
      <w:r>
        <w:t>2. Introduction and Motivation</w:t>
      </w:r>
    </w:p>
    <w:p w14:paraId="51FAEAA1" w14:textId="38A9D41F" w:rsidR="009636A2" w:rsidRDefault="00831853">
      <w:r w:rsidRPr="00831853">
        <w:t>In recent years, environmental, social, and governance (ESG) performance has emerged as a key indicator of corporate sustainability. Regulators and investors have increasingly emphasized the role of corporate boards in shaping ESG strategies. In China, while ESG reporting has gained momentum, the empirical link between board diversity and ESG performance remains underexplored. This research aims to fill this gap by investigating whether diverse boards—particularly in terms of gender and professional background—can positively influence the ESG outcomes of Chinese listed companies.</w:t>
      </w:r>
    </w:p>
    <w:p w14:paraId="22081488" w14:textId="77777777" w:rsidR="009636A2" w:rsidRDefault="00000000">
      <w:pPr>
        <w:pStyle w:val="1"/>
      </w:pPr>
      <w:r>
        <w:t>3. Research Objectives and Questions</w:t>
      </w:r>
    </w:p>
    <w:p w14:paraId="482A040E" w14:textId="1F047C53" w:rsidR="00831853" w:rsidRDefault="00831853" w:rsidP="00831853">
      <w:r>
        <w:t>Objective:</w:t>
      </w:r>
    </w:p>
    <w:p w14:paraId="2B086A6B" w14:textId="0EEA71A5" w:rsidR="009636A2" w:rsidRPr="00831853" w:rsidRDefault="00831853" w:rsidP="00831853">
      <w:pPr>
        <w:rPr>
          <w:rFonts w:eastAsia="宋体"/>
          <w:lang w:eastAsia="zh-CN"/>
        </w:rPr>
      </w:pPr>
      <w:r>
        <w:t>To examine the relationship between board diversity and ESG performance in the context of Chinese listed firms.</w:t>
      </w:r>
    </w:p>
    <w:p w14:paraId="4EA667BB" w14:textId="77777777" w:rsidR="00831853" w:rsidRPr="00831853" w:rsidRDefault="00831853" w:rsidP="00831853">
      <w:pPr>
        <w:rPr>
          <w:rFonts w:eastAsia="宋体"/>
          <w:lang w:eastAsia="zh-CN"/>
        </w:rPr>
      </w:pPr>
      <w:r w:rsidRPr="00831853">
        <w:rPr>
          <w:rFonts w:eastAsia="宋体"/>
          <w:lang w:eastAsia="zh-CN"/>
        </w:rPr>
        <w:t>Research Question:</w:t>
      </w:r>
    </w:p>
    <w:p w14:paraId="5D13FEF3" w14:textId="60E63EEF" w:rsidR="00831853" w:rsidRPr="00831853" w:rsidRDefault="00831853" w:rsidP="00831853">
      <w:pPr>
        <w:rPr>
          <w:rFonts w:eastAsia="宋体" w:hint="eastAsia"/>
          <w:lang w:eastAsia="zh-CN"/>
        </w:rPr>
      </w:pPr>
      <w:r w:rsidRPr="00831853">
        <w:rPr>
          <w:rFonts w:eastAsia="宋体"/>
          <w:lang w:eastAsia="zh-CN"/>
        </w:rPr>
        <w:t>Does board diversity significantly improve ESG performance in Chinese listed companies?</w:t>
      </w:r>
    </w:p>
    <w:p w14:paraId="7CE74982" w14:textId="77777777" w:rsidR="009636A2" w:rsidRDefault="00000000">
      <w:pPr>
        <w:pStyle w:val="1"/>
      </w:pPr>
      <w:r>
        <w:t>4. Literature Review (Brief)</w:t>
      </w:r>
    </w:p>
    <w:p w14:paraId="0937C5AE" w14:textId="2B61756E" w:rsidR="00831853" w:rsidRPr="00831853" w:rsidRDefault="00831853" w:rsidP="00831853">
      <w:pPr>
        <w:rPr>
          <w:rFonts w:eastAsia="宋体" w:hint="eastAsia"/>
          <w:lang w:eastAsia="zh-CN"/>
        </w:rPr>
      </w:pPr>
      <w:r w:rsidRPr="00831853">
        <w:rPr>
          <w:rFonts w:eastAsia="宋体"/>
          <w:b/>
          <w:bCs/>
          <w:lang w:eastAsia="zh-CN"/>
        </w:rPr>
        <w:t>Adams &amp; Ferreira (2009)</w:t>
      </w:r>
      <w:r w:rsidRPr="00831853">
        <w:rPr>
          <w:rFonts w:eastAsia="宋体"/>
          <w:lang w:eastAsia="zh-CN"/>
        </w:rPr>
        <w:t>: Show that gender-diverse boards enhance monitoring and improve firm performance.</w:t>
      </w:r>
    </w:p>
    <w:p w14:paraId="20E9A96F" w14:textId="54E2CF45" w:rsidR="00831853" w:rsidRPr="00831853" w:rsidRDefault="00831853" w:rsidP="00831853">
      <w:pPr>
        <w:rPr>
          <w:rFonts w:eastAsia="宋体" w:hint="eastAsia"/>
          <w:lang w:eastAsia="zh-CN"/>
        </w:rPr>
      </w:pPr>
      <w:r w:rsidRPr="00831853">
        <w:rPr>
          <w:rFonts w:eastAsia="宋体"/>
          <w:b/>
          <w:bCs/>
          <w:lang w:eastAsia="zh-CN"/>
        </w:rPr>
        <w:t>Eccles et al. (2014)</w:t>
      </w:r>
      <w:r w:rsidRPr="00831853">
        <w:rPr>
          <w:rFonts w:eastAsia="宋体"/>
          <w:lang w:eastAsia="zh-CN"/>
        </w:rPr>
        <w:t>: Find that firms with strong sustainability practices outperform peers in the long term.</w:t>
      </w:r>
    </w:p>
    <w:p w14:paraId="4418A931" w14:textId="1C366525" w:rsidR="00831853" w:rsidRPr="00831853" w:rsidRDefault="00831853" w:rsidP="00831853">
      <w:pPr>
        <w:rPr>
          <w:rFonts w:eastAsia="宋体" w:hint="eastAsia"/>
          <w:lang w:eastAsia="zh-CN"/>
        </w:rPr>
      </w:pPr>
      <w:r w:rsidRPr="00831853">
        <w:rPr>
          <w:rFonts w:eastAsia="宋体"/>
          <w:b/>
          <w:bCs/>
          <w:lang w:eastAsia="zh-CN"/>
        </w:rPr>
        <w:t>Lins et al. (2017)</w:t>
      </w:r>
      <w:r w:rsidRPr="00831853">
        <w:rPr>
          <w:rFonts w:eastAsia="宋体"/>
          <w:lang w:eastAsia="zh-CN"/>
        </w:rPr>
        <w:t>: Demonstrate that social capital and stakeholder trust drive resilience during crises.</w:t>
      </w:r>
    </w:p>
    <w:p w14:paraId="31F4797F" w14:textId="33C6DB33" w:rsidR="00831853" w:rsidRPr="00831853" w:rsidRDefault="00831853" w:rsidP="00831853">
      <w:pPr>
        <w:rPr>
          <w:rFonts w:eastAsia="宋体" w:hint="eastAsia"/>
          <w:lang w:eastAsia="zh-CN"/>
        </w:rPr>
      </w:pPr>
      <w:r w:rsidRPr="00831853">
        <w:rPr>
          <w:rFonts w:eastAsia="宋体"/>
          <w:b/>
          <w:bCs/>
          <w:lang w:eastAsia="zh-CN"/>
        </w:rPr>
        <w:lastRenderedPageBreak/>
        <w:t>Bebchuk &amp; Fried (2003)</w:t>
      </w:r>
      <w:r w:rsidRPr="00831853">
        <w:rPr>
          <w:rFonts w:eastAsia="宋体"/>
          <w:lang w:eastAsia="zh-CN"/>
        </w:rPr>
        <w:t>: Discuss agency issues in corporate governance and the importance of incentive alignment.</w:t>
      </w:r>
    </w:p>
    <w:p w14:paraId="081E159D" w14:textId="0AE5C273" w:rsidR="00831853" w:rsidRDefault="00831853" w:rsidP="00831853">
      <w:pPr>
        <w:rPr>
          <w:rFonts w:eastAsia="宋体"/>
          <w:lang w:eastAsia="zh-CN"/>
        </w:rPr>
      </w:pPr>
      <w:r w:rsidRPr="00831853">
        <w:rPr>
          <w:rFonts w:eastAsia="宋体"/>
          <w:b/>
          <w:bCs/>
          <w:lang w:eastAsia="zh-CN"/>
        </w:rPr>
        <w:t>Research Gap</w:t>
      </w:r>
      <w:r w:rsidRPr="00831853">
        <w:rPr>
          <w:rFonts w:eastAsia="宋体"/>
          <w:lang w:eastAsia="zh-CN"/>
        </w:rPr>
        <w:t>: Most existing studies focus on Western contexts; Chinese listed firms remain under-investigated in terms of how internal governance diversity shapes ESG performance.</w:t>
      </w:r>
    </w:p>
    <w:p w14:paraId="10CED78A" w14:textId="77777777" w:rsidR="009636A2" w:rsidRDefault="00000000">
      <w:pPr>
        <w:pStyle w:val="1"/>
      </w:pPr>
      <w:r>
        <w:t>5. Theoretical Framework</w:t>
      </w:r>
    </w:p>
    <w:p w14:paraId="4D092A67" w14:textId="74301648" w:rsidR="00831853" w:rsidRPr="00831853" w:rsidRDefault="00831853" w:rsidP="00831853">
      <w:pPr>
        <w:rPr>
          <w:rFonts w:eastAsia="宋体" w:hint="eastAsia"/>
          <w:lang w:eastAsia="zh-CN"/>
        </w:rPr>
      </w:pPr>
      <w:r w:rsidRPr="00831853">
        <w:rPr>
          <w:rFonts w:eastAsia="宋体"/>
          <w:lang w:eastAsia="zh-CN"/>
        </w:rPr>
        <w:t>The study adopts a hybrid approach based on Agency Theory and Stakeholder Theory.</w:t>
      </w:r>
    </w:p>
    <w:p w14:paraId="3E6FA8C0" w14:textId="1E2A13F7" w:rsidR="00831853" w:rsidRPr="00831853" w:rsidRDefault="009739A3" w:rsidP="00831853">
      <w:pPr>
        <w:ind w:left="440"/>
        <w:rPr>
          <w:rFonts w:eastAsia="宋体" w:hint="eastAsia"/>
          <w:lang w:eastAsia="zh-CN"/>
        </w:rPr>
      </w:pPr>
      <w:r>
        <w:t>•</w:t>
      </w:r>
      <w:r w:rsidR="00831853" w:rsidRPr="00831853">
        <w:rPr>
          <w:rFonts w:eastAsia="宋体"/>
          <w:lang w:eastAsia="zh-CN"/>
        </w:rPr>
        <w:t>Agency Theory: Diverse boards can reduce agency problems by improving oversight and information flow.</w:t>
      </w:r>
    </w:p>
    <w:p w14:paraId="6A2F896B" w14:textId="4F4CBDFA" w:rsidR="009636A2" w:rsidRPr="00831853" w:rsidRDefault="009739A3" w:rsidP="00831853">
      <w:pPr>
        <w:ind w:left="440"/>
        <w:rPr>
          <w:rFonts w:eastAsia="宋体" w:hint="eastAsia"/>
          <w:lang w:eastAsia="zh-CN"/>
        </w:rPr>
      </w:pPr>
      <w:r>
        <w:t>•</w:t>
      </w:r>
      <w:r w:rsidR="00831853" w:rsidRPr="00831853">
        <w:rPr>
          <w:rFonts w:eastAsia="宋体"/>
          <w:lang w:eastAsia="zh-CN"/>
        </w:rPr>
        <w:t>Stakeholder Theory: Directors from varied backgrounds are more likely to consider stakeholder interests, thus aligning ESG goals with governance decisions.</w:t>
      </w:r>
    </w:p>
    <w:p w14:paraId="3CB7C83B" w14:textId="77777777" w:rsidR="009636A2" w:rsidRDefault="00000000">
      <w:pPr>
        <w:pStyle w:val="1"/>
      </w:pPr>
      <w:r>
        <w:t>6. Data and Methodology</w:t>
      </w:r>
    </w:p>
    <w:p w14:paraId="150238F5" w14:textId="0A880F04" w:rsidR="00831853" w:rsidRPr="00831853" w:rsidRDefault="00831853" w:rsidP="00831853">
      <w:pPr>
        <w:rPr>
          <w:rFonts w:eastAsia="宋体" w:hint="eastAsia"/>
          <w:lang w:eastAsia="zh-CN"/>
        </w:rPr>
      </w:pPr>
      <w:r w:rsidRPr="009739A3">
        <w:rPr>
          <w:rFonts w:eastAsia="宋体"/>
          <w:b/>
          <w:bCs/>
          <w:lang w:eastAsia="zh-CN"/>
        </w:rPr>
        <w:t>Data Type</w:t>
      </w:r>
      <w:r w:rsidRPr="00831853">
        <w:rPr>
          <w:rFonts w:eastAsia="宋体"/>
          <w:lang w:eastAsia="zh-CN"/>
        </w:rPr>
        <w:t>: Panel data (2015–2023), firm-level</w:t>
      </w:r>
    </w:p>
    <w:p w14:paraId="3F2C1498" w14:textId="20B4CF4B" w:rsidR="00831853" w:rsidRPr="00831853" w:rsidRDefault="00831853" w:rsidP="00831853">
      <w:pPr>
        <w:rPr>
          <w:rFonts w:eastAsia="宋体" w:hint="eastAsia"/>
          <w:lang w:eastAsia="zh-CN"/>
        </w:rPr>
      </w:pPr>
      <w:r w:rsidRPr="009739A3">
        <w:rPr>
          <w:rFonts w:eastAsia="宋体"/>
          <w:b/>
          <w:bCs/>
          <w:lang w:eastAsia="zh-CN"/>
        </w:rPr>
        <w:t>Data Source</w:t>
      </w:r>
      <w:r w:rsidRPr="00831853">
        <w:rPr>
          <w:rFonts w:eastAsia="宋体"/>
          <w:lang w:eastAsia="zh-CN"/>
        </w:rPr>
        <w:t>:</w:t>
      </w:r>
    </w:p>
    <w:p w14:paraId="4F189B36" w14:textId="6D84AA51" w:rsidR="00831853" w:rsidRPr="009739A3" w:rsidRDefault="009739A3" w:rsidP="009739A3">
      <w:pPr>
        <w:ind w:firstLineChars="200" w:firstLine="480"/>
        <w:rPr>
          <w:rFonts w:hint="eastAsia"/>
        </w:rPr>
      </w:pPr>
      <w:r>
        <w:t>•</w:t>
      </w:r>
      <w:r w:rsidR="00831853" w:rsidRPr="009739A3">
        <w:t>Board composition: CSMAR</w:t>
      </w:r>
    </w:p>
    <w:p w14:paraId="7643A58E" w14:textId="08463750" w:rsidR="00831853" w:rsidRPr="009739A3" w:rsidRDefault="009739A3" w:rsidP="009739A3">
      <w:pPr>
        <w:ind w:firstLineChars="200" w:firstLine="480"/>
        <w:rPr>
          <w:rFonts w:hint="eastAsia"/>
        </w:rPr>
      </w:pPr>
      <w:r>
        <w:t>•</w:t>
      </w:r>
      <w:r w:rsidR="00831853" w:rsidRPr="009739A3">
        <w:t>ESG scores: Wind ESG or Huazheng ESG Ratings</w:t>
      </w:r>
    </w:p>
    <w:p w14:paraId="70E613DB" w14:textId="790CAD59" w:rsidR="00831853" w:rsidRPr="009739A3" w:rsidRDefault="009739A3" w:rsidP="009739A3">
      <w:pPr>
        <w:ind w:firstLineChars="200" w:firstLine="480"/>
        <w:rPr>
          <w:rFonts w:hint="eastAsia"/>
        </w:rPr>
      </w:pPr>
      <w:r>
        <w:t>•</w:t>
      </w:r>
      <w:r w:rsidR="00831853" w:rsidRPr="009739A3">
        <w:t>Financials: WIND or company reports</w:t>
      </w:r>
    </w:p>
    <w:p w14:paraId="0B8351E3" w14:textId="0D530771" w:rsidR="00831853" w:rsidRPr="00831853" w:rsidRDefault="00831853" w:rsidP="009739A3">
      <w:pPr>
        <w:rPr>
          <w:rFonts w:eastAsia="宋体" w:hint="eastAsia"/>
          <w:lang w:eastAsia="zh-CN"/>
        </w:rPr>
      </w:pPr>
      <w:r w:rsidRPr="009739A3">
        <w:rPr>
          <w:rFonts w:eastAsia="宋体"/>
          <w:b/>
          <w:bCs/>
          <w:lang w:eastAsia="zh-CN"/>
        </w:rPr>
        <w:t>Methodology</w:t>
      </w:r>
      <w:r w:rsidRPr="00831853">
        <w:rPr>
          <w:rFonts w:eastAsia="宋体"/>
          <w:lang w:eastAsia="zh-CN"/>
        </w:rPr>
        <w:t>:</w:t>
      </w:r>
      <w:r w:rsidR="009739A3">
        <w:rPr>
          <w:rFonts w:eastAsia="宋体" w:hint="eastAsia"/>
          <w:lang w:eastAsia="zh-CN"/>
        </w:rPr>
        <w:t xml:space="preserve"> </w:t>
      </w:r>
      <w:r w:rsidRPr="00831853">
        <w:rPr>
          <w:rFonts w:eastAsia="宋体"/>
          <w:lang w:eastAsia="zh-CN"/>
        </w:rPr>
        <w:t>Panel regression with firm and year fixed effects</w:t>
      </w:r>
    </w:p>
    <w:p w14:paraId="5729987D" w14:textId="0CF31178" w:rsidR="00831853" w:rsidRPr="00831853" w:rsidRDefault="00831853" w:rsidP="00831853">
      <w:pPr>
        <w:rPr>
          <w:rFonts w:eastAsia="宋体" w:hint="eastAsia"/>
          <w:lang w:eastAsia="zh-CN"/>
        </w:rPr>
      </w:pPr>
      <w:r w:rsidRPr="009739A3">
        <w:rPr>
          <w:rFonts w:eastAsia="宋体"/>
          <w:b/>
          <w:bCs/>
          <w:lang w:eastAsia="zh-CN"/>
        </w:rPr>
        <w:t>Key Variables</w:t>
      </w:r>
      <w:r w:rsidRPr="00831853">
        <w:rPr>
          <w:rFonts w:eastAsia="宋体"/>
          <w:lang w:eastAsia="zh-CN"/>
        </w:rPr>
        <w:t>:</w:t>
      </w:r>
    </w:p>
    <w:p w14:paraId="32F83D23" w14:textId="154EA9D1" w:rsidR="00831853" w:rsidRPr="00831853" w:rsidRDefault="009739A3" w:rsidP="009739A3">
      <w:pPr>
        <w:ind w:firstLineChars="200" w:firstLine="480"/>
        <w:rPr>
          <w:rFonts w:eastAsia="宋体" w:hint="eastAsia"/>
          <w:lang w:eastAsia="zh-CN"/>
        </w:rPr>
      </w:pPr>
      <w:r>
        <w:t>•</w:t>
      </w:r>
      <w:r w:rsidR="00831853" w:rsidRPr="00831853">
        <w:rPr>
          <w:rFonts w:eastAsia="宋体"/>
          <w:lang w:eastAsia="zh-CN"/>
        </w:rPr>
        <w:t>Dependent: ESG score</w:t>
      </w:r>
    </w:p>
    <w:p w14:paraId="6D4CB539" w14:textId="69D266E5" w:rsidR="00831853" w:rsidRPr="00831853" w:rsidRDefault="009739A3" w:rsidP="009739A3">
      <w:pPr>
        <w:ind w:firstLineChars="200" w:firstLine="480"/>
        <w:rPr>
          <w:rFonts w:eastAsia="宋体" w:hint="eastAsia"/>
          <w:lang w:eastAsia="zh-CN"/>
        </w:rPr>
      </w:pPr>
      <w:r>
        <w:t>•</w:t>
      </w:r>
      <w:r w:rsidR="00831853" w:rsidRPr="00831853">
        <w:rPr>
          <w:rFonts w:eastAsia="宋体"/>
          <w:lang w:eastAsia="zh-CN"/>
        </w:rPr>
        <w:t>Independent: Gender diversity (female %), Blau Index, professional diversity</w:t>
      </w:r>
    </w:p>
    <w:p w14:paraId="1D5DB4D0" w14:textId="045A13D2" w:rsidR="00831853" w:rsidRPr="00831853" w:rsidRDefault="009739A3" w:rsidP="009739A3">
      <w:pPr>
        <w:ind w:firstLineChars="200" w:firstLine="480"/>
        <w:rPr>
          <w:rFonts w:eastAsia="宋体" w:hint="eastAsia"/>
          <w:lang w:eastAsia="zh-CN"/>
        </w:rPr>
      </w:pPr>
      <w:r>
        <w:t>•</w:t>
      </w:r>
      <w:r w:rsidR="00831853" w:rsidRPr="00831853">
        <w:rPr>
          <w:rFonts w:eastAsia="宋体"/>
          <w:lang w:eastAsia="zh-CN"/>
        </w:rPr>
        <w:t>Controls: ROA, firm size, leverage, industry dummies</w:t>
      </w:r>
    </w:p>
    <w:p w14:paraId="0B2116E0" w14:textId="0EB7043B" w:rsidR="00831853" w:rsidRDefault="00831853" w:rsidP="00831853">
      <w:pPr>
        <w:rPr>
          <w:rFonts w:eastAsia="宋体"/>
          <w:lang w:eastAsia="zh-CN"/>
        </w:rPr>
      </w:pPr>
      <w:r w:rsidRPr="009739A3">
        <w:rPr>
          <w:rFonts w:eastAsia="宋体"/>
          <w:b/>
          <w:bCs/>
          <w:lang w:eastAsia="zh-CN"/>
        </w:rPr>
        <w:t>Robustness checks</w:t>
      </w:r>
      <w:r w:rsidRPr="00831853">
        <w:rPr>
          <w:rFonts w:eastAsia="宋体"/>
          <w:lang w:eastAsia="zh-CN"/>
        </w:rPr>
        <w:t>: Lagged variables, alternative diversity metrics</w:t>
      </w:r>
    </w:p>
    <w:p w14:paraId="60F44720" w14:textId="77777777" w:rsidR="009739A3" w:rsidRDefault="009739A3" w:rsidP="00831853">
      <w:pPr>
        <w:rPr>
          <w:rFonts w:eastAsia="宋体"/>
          <w:lang w:eastAsia="zh-CN"/>
        </w:rPr>
      </w:pPr>
    </w:p>
    <w:p w14:paraId="3B021D52" w14:textId="77777777" w:rsidR="009636A2" w:rsidRDefault="00000000">
      <w:pPr>
        <w:pStyle w:val="1"/>
      </w:pPr>
      <w:r>
        <w:lastRenderedPageBreak/>
        <w:t>7. Expected Contributions</w:t>
      </w:r>
    </w:p>
    <w:p w14:paraId="6C74A07D" w14:textId="31F2AAA7" w:rsidR="00831853" w:rsidRPr="00831853" w:rsidRDefault="00831853" w:rsidP="00831853">
      <w:pPr>
        <w:rPr>
          <w:rFonts w:eastAsia="宋体" w:hint="eastAsia"/>
          <w:lang w:eastAsia="zh-CN"/>
        </w:rPr>
      </w:pPr>
      <w:r>
        <w:rPr>
          <w:rFonts w:eastAsia="宋体" w:hint="eastAsia"/>
          <w:lang w:eastAsia="zh-CN"/>
        </w:rPr>
        <w:t>（</w:t>
      </w:r>
      <w:r>
        <w:rPr>
          <w:rFonts w:eastAsia="宋体" w:hint="eastAsia"/>
          <w:lang w:eastAsia="zh-CN"/>
        </w:rPr>
        <w:t>1</w:t>
      </w:r>
      <w:r>
        <w:rPr>
          <w:rFonts w:eastAsia="宋体" w:hint="eastAsia"/>
          <w:lang w:eastAsia="zh-CN"/>
        </w:rPr>
        <w:t>）</w:t>
      </w:r>
      <w:r w:rsidRPr="00831853">
        <w:rPr>
          <w:rFonts w:eastAsia="宋体"/>
          <w:lang w:eastAsia="zh-CN"/>
        </w:rPr>
        <w:t>Academic Contribution: Enhances understanding of board structure and ESG governance in emerging markets.</w:t>
      </w:r>
    </w:p>
    <w:p w14:paraId="4A954502" w14:textId="4B2692AB" w:rsidR="00831853" w:rsidRPr="00831853" w:rsidRDefault="00831853" w:rsidP="00831853">
      <w:pPr>
        <w:rPr>
          <w:rFonts w:eastAsia="宋体" w:hint="eastAsia"/>
          <w:lang w:eastAsia="zh-CN"/>
        </w:rPr>
      </w:pPr>
      <w:r>
        <w:rPr>
          <w:rFonts w:eastAsia="宋体" w:hint="eastAsia"/>
          <w:lang w:eastAsia="zh-CN"/>
        </w:rPr>
        <w:t>（</w:t>
      </w:r>
      <w:r>
        <w:rPr>
          <w:rFonts w:eastAsia="宋体" w:hint="eastAsia"/>
          <w:lang w:eastAsia="zh-CN"/>
        </w:rPr>
        <w:t>2</w:t>
      </w:r>
      <w:r>
        <w:rPr>
          <w:rFonts w:eastAsia="宋体" w:hint="eastAsia"/>
          <w:lang w:eastAsia="zh-CN"/>
        </w:rPr>
        <w:t>）</w:t>
      </w:r>
      <w:r w:rsidRPr="00831853">
        <w:rPr>
          <w:rFonts w:eastAsia="宋体"/>
          <w:lang w:eastAsia="zh-CN"/>
        </w:rPr>
        <w:t>Practical Contribution: Offers data-driven evidence to help Chinese firms and regulators refine board selection strategies to boost sustainability.</w:t>
      </w:r>
    </w:p>
    <w:p w14:paraId="5B2BAA3B" w14:textId="15D875B1" w:rsidR="009636A2" w:rsidRPr="00831853" w:rsidRDefault="00831853" w:rsidP="00831853">
      <w:pPr>
        <w:rPr>
          <w:rFonts w:eastAsia="宋体" w:hint="eastAsia"/>
          <w:lang w:eastAsia="zh-CN"/>
        </w:rPr>
      </w:pPr>
      <w:r>
        <w:rPr>
          <w:rFonts w:eastAsia="宋体" w:hint="eastAsia"/>
          <w:lang w:eastAsia="zh-CN"/>
        </w:rPr>
        <w:t>（</w:t>
      </w:r>
      <w:r>
        <w:rPr>
          <w:rFonts w:eastAsia="宋体" w:hint="eastAsia"/>
          <w:lang w:eastAsia="zh-CN"/>
        </w:rPr>
        <w:t>3</w:t>
      </w:r>
      <w:r>
        <w:rPr>
          <w:rFonts w:eastAsia="宋体" w:hint="eastAsia"/>
          <w:lang w:eastAsia="zh-CN"/>
        </w:rPr>
        <w:t>）</w:t>
      </w:r>
      <w:r w:rsidRPr="00831853">
        <w:rPr>
          <w:rFonts w:eastAsia="宋体"/>
          <w:lang w:eastAsia="zh-CN"/>
        </w:rPr>
        <w:t>Policy Implications: Supports regulatory efforts to encourage board diversity as part of ESG disclosure reform.</w:t>
      </w:r>
    </w:p>
    <w:p w14:paraId="352E724D" w14:textId="77777777" w:rsidR="009636A2" w:rsidRDefault="00000000">
      <w:pPr>
        <w:pStyle w:val="1"/>
      </w:pPr>
      <w:r>
        <w:t>8. Timeline (Optional)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5"/>
        <w:gridCol w:w="4008"/>
      </w:tblGrid>
      <w:tr w:rsidR="009739A3" w:rsidRPr="009739A3" w14:paraId="79C4DF96" w14:textId="77777777" w:rsidTr="00667CA7">
        <w:trPr>
          <w:tblHeader/>
          <w:tblCellSpacing w:w="15" w:type="dxa"/>
        </w:trPr>
        <w:tc>
          <w:tcPr>
            <w:tcW w:w="0" w:type="auto"/>
            <w:vAlign w:val="center"/>
            <w:hideMark/>
          </w:tcPr>
          <w:p w14:paraId="59FC6FD5" w14:textId="77777777" w:rsidR="009739A3" w:rsidRPr="009739A3" w:rsidRDefault="009739A3" w:rsidP="00667CA7">
            <w:pPr>
              <w:jc w:val="center"/>
              <w:rPr>
                <w:rFonts w:eastAsia="宋体"/>
                <w:b/>
                <w:bCs/>
                <w:lang w:eastAsia="zh-CN"/>
              </w:rPr>
            </w:pPr>
            <w:r w:rsidRPr="009739A3">
              <w:rPr>
                <w:rFonts w:eastAsia="宋体"/>
                <w:b/>
                <w:bCs/>
                <w:lang w:eastAsia="zh-CN"/>
              </w:rPr>
              <w:t>Time</w:t>
            </w:r>
          </w:p>
        </w:tc>
        <w:tc>
          <w:tcPr>
            <w:tcW w:w="0" w:type="auto"/>
            <w:vAlign w:val="center"/>
            <w:hideMark/>
          </w:tcPr>
          <w:p w14:paraId="445B331E" w14:textId="77777777" w:rsidR="009739A3" w:rsidRPr="009739A3" w:rsidRDefault="009739A3" w:rsidP="00667CA7">
            <w:pPr>
              <w:jc w:val="center"/>
              <w:rPr>
                <w:rFonts w:eastAsia="宋体"/>
                <w:b/>
                <w:bCs/>
                <w:lang w:eastAsia="zh-CN"/>
              </w:rPr>
            </w:pPr>
            <w:r w:rsidRPr="009739A3">
              <w:rPr>
                <w:rFonts w:eastAsia="宋体"/>
                <w:b/>
                <w:bCs/>
                <w:lang w:eastAsia="zh-CN"/>
              </w:rPr>
              <w:t>Task</w:t>
            </w:r>
          </w:p>
        </w:tc>
      </w:tr>
      <w:tr w:rsidR="009739A3" w:rsidRPr="009739A3" w14:paraId="43FFA1E3" w14:textId="77777777" w:rsidTr="00667CA7">
        <w:trPr>
          <w:tblCellSpacing w:w="15" w:type="dxa"/>
        </w:trPr>
        <w:tc>
          <w:tcPr>
            <w:tcW w:w="0" w:type="auto"/>
            <w:vAlign w:val="center"/>
            <w:hideMark/>
          </w:tcPr>
          <w:p w14:paraId="10C26798" w14:textId="013CFAB0" w:rsidR="009739A3" w:rsidRPr="009739A3" w:rsidRDefault="009739A3" w:rsidP="00667CA7">
            <w:pPr>
              <w:jc w:val="center"/>
              <w:rPr>
                <w:rFonts w:eastAsia="宋体" w:hint="eastAsia"/>
                <w:lang w:eastAsia="zh-CN"/>
              </w:rPr>
            </w:pPr>
            <w:r w:rsidRPr="009739A3">
              <w:rPr>
                <w:rFonts w:eastAsia="宋体"/>
                <w:lang w:eastAsia="zh-CN"/>
              </w:rPr>
              <w:t xml:space="preserve">July </w:t>
            </w:r>
            <w:r w:rsidR="00667CA7">
              <w:rPr>
                <w:rFonts w:eastAsia="宋体" w:hint="eastAsia"/>
                <w:lang w:eastAsia="zh-CN"/>
              </w:rPr>
              <w:t>1-2</w:t>
            </w:r>
          </w:p>
        </w:tc>
        <w:tc>
          <w:tcPr>
            <w:tcW w:w="0" w:type="auto"/>
            <w:vAlign w:val="center"/>
            <w:hideMark/>
          </w:tcPr>
          <w:p w14:paraId="0D0CED7E" w14:textId="77777777" w:rsidR="009739A3" w:rsidRPr="009739A3" w:rsidRDefault="009739A3" w:rsidP="00667CA7">
            <w:pPr>
              <w:jc w:val="center"/>
              <w:rPr>
                <w:rFonts w:eastAsia="宋体"/>
                <w:lang w:eastAsia="zh-CN"/>
              </w:rPr>
            </w:pPr>
            <w:r w:rsidRPr="009739A3">
              <w:rPr>
                <w:rFonts w:eastAsia="宋体"/>
                <w:lang w:eastAsia="zh-CN"/>
              </w:rPr>
              <w:t>Collect and clean board and ESG data</w:t>
            </w:r>
          </w:p>
        </w:tc>
      </w:tr>
      <w:tr w:rsidR="009739A3" w:rsidRPr="009739A3" w14:paraId="68DDF164" w14:textId="77777777" w:rsidTr="00667CA7">
        <w:trPr>
          <w:tblCellSpacing w:w="15" w:type="dxa"/>
        </w:trPr>
        <w:tc>
          <w:tcPr>
            <w:tcW w:w="0" w:type="auto"/>
            <w:vAlign w:val="center"/>
            <w:hideMark/>
          </w:tcPr>
          <w:p w14:paraId="40F25443" w14:textId="41A53259" w:rsidR="009739A3" w:rsidRPr="009739A3" w:rsidRDefault="009739A3" w:rsidP="00667CA7">
            <w:pPr>
              <w:jc w:val="center"/>
              <w:rPr>
                <w:rFonts w:eastAsia="宋体" w:hint="eastAsia"/>
                <w:lang w:eastAsia="zh-CN"/>
              </w:rPr>
            </w:pPr>
            <w:r w:rsidRPr="009739A3">
              <w:rPr>
                <w:rFonts w:eastAsia="宋体"/>
                <w:lang w:eastAsia="zh-CN"/>
              </w:rPr>
              <w:t xml:space="preserve">July </w:t>
            </w:r>
            <w:r w:rsidR="00667CA7">
              <w:rPr>
                <w:rFonts w:eastAsia="宋体" w:hint="eastAsia"/>
                <w:lang w:eastAsia="zh-CN"/>
              </w:rPr>
              <w:t>3</w:t>
            </w:r>
          </w:p>
        </w:tc>
        <w:tc>
          <w:tcPr>
            <w:tcW w:w="0" w:type="auto"/>
            <w:vAlign w:val="center"/>
            <w:hideMark/>
          </w:tcPr>
          <w:p w14:paraId="2B975D2A" w14:textId="77777777" w:rsidR="009739A3" w:rsidRPr="009739A3" w:rsidRDefault="009739A3" w:rsidP="00667CA7">
            <w:pPr>
              <w:jc w:val="center"/>
              <w:rPr>
                <w:rFonts w:eastAsia="宋体"/>
                <w:lang w:eastAsia="zh-CN"/>
              </w:rPr>
            </w:pPr>
            <w:r w:rsidRPr="009739A3">
              <w:rPr>
                <w:rFonts w:eastAsia="宋体"/>
                <w:lang w:eastAsia="zh-CN"/>
              </w:rPr>
              <w:t>Run empirical model and analyze results</w:t>
            </w:r>
          </w:p>
        </w:tc>
      </w:tr>
      <w:tr w:rsidR="009739A3" w:rsidRPr="009739A3" w14:paraId="403F3303" w14:textId="77777777" w:rsidTr="00667CA7">
        <w:trPr>
          <w:tblCellSpacing w:w="15" w:type="dxa"/>
        </w:trPr>
        <w:tc>
          <w:tcPr>
            <w:tcW w:w="0" w:type="auto"/>
            <w:vAlign w:val="center"/>
            <w:hideMark/>
          </w:tcPr>
          <w:p w14:paraId="25828111" w14:textId="29C4A356" w:rsidR="009739A3" w:rsidRPr="009739A3" w:rsidRDefault="009739A3" w:rsidP="00667CA7">
            <w:pPr>
              <w:jc w:val="center"/>
              <w:rPr>
                <w:rFonts w:eastAsia="宋体" w:hint="eastAsia"/>
                <w:lang w:eastAsia="zh-CN"/>
              </w:rPr>
            </w:pPr>
            <w:r w:rsidRPr="009739A3">
              <w:rPr>
                <w:rFonts w:eastAsia="宋体"/>
                <w:lang w:eastAsia="zh-CN"/>
              </w:rPr>
              <w:t xml:space="preserve">July </w:t>
            </w:r>
            <w:r w:rsidR="00667CA7">
              <w:rPr>
                <w:rFonts w:eastAsia="宋体" w:hint="eastAsia"/>
                <w:lang w:eastAsia="zh-CN"/>
              </w:rPr>
              <w:t>4</w:t>
            </w:r>
          </w:p>
        </w:tc>
        <w:tc>
          <w:tcPr>
            <w:tcW w:w="0" w:type="auto"/>
            <w:vAlign w:val="center"/>
            <w:hideMark/>
          </w:tcPr>
          <w:p w14:paraId="1A9E26B2" w14:textId="77777777" w:rsidR="009739A3" w:rsidRPr="009739A3" w:rsidRDefault="009739A3" w:rsidP="00667CA7">
            <w:pPr>
              <w:jc w:val="center"/>
              <w:rPr>
                <w:rFonts w:eastAsia="宋体"/>
                <w:lang w:eastAsia="zh-CN"/>
              </w:rPr>
            </w:pPr>
            <w:r w:rsidRPr="009739A3">
              <w:rPr>
                <w:rFonts w:eastAsia="宋体"/>
                <w:lang w:eastAsia="zh-CN"/>
              </w:rPr>
              <w:t>Draft final proposal and prepare slides</w:t>
            </w:r>
          </w:p>
        </w:tc>
      </w:tr>
    </w:tbl>
    <w:p w14:paraId="280E5C42" w14:textId="5D19C1B4" w:rsidR="009636A2" w:rsidRDefault="00000000">
      <w:pPr>
        <w:pStyle w:val="1"/>
      </w:pPr>
      <w:r>
        <w:t>9. References</w:t>
      </w:r>
    </w:p>
    <w:p w14:paraId="1852ED35" w14:textId="3879E3FB" w:rsidR="00667CA7" w:rsidRPr="00667CA7" w:rsidRDefault="00667CA7" w:rsidP="00667CA7">
      <w:pPr>
        <w:pStyle w:val="ae"/>
        <w:numPr>
          <w:ilvl w:val="0"/>
          <w:numId w:val="15"/>
        </w:numPr>
        <w:rPr>
          <w:rFonts w:eastAsia="宋体" w:hint="eastAsia"/>
          <w:lang w:eastAsia="zh-CN"/>
        </w:rPr>
      </w:pPr>
      <w:r w:rsidRPr="00667CA7">
        <w:rPr>
          <w:rFonts w:eastAsia="宋体"/>
          <w:lang w:eastAsia="zh-CN"/>
        </w:rPr>
        <w:t xml:space="preserve">Adams, R. B., &amp; Ferreira, D. (2009). Women in the boardroom and their impact on governance and performance. </w:t>
      </w:r>
      <w:r w:rsidRPr="00667CA7">
        <w:rPr>
          <w:rFonts w:eastAsia="宋体"/>
          <w:i/>
          <w:iCs/>
          <w:lang w:eastAsia="zh-CN"/>
        </w:rPr>
        <w:t>Journal of Financial Economics</w:t>
      </w:r>
      <w:r w:rsidRPr="00667CA7">
        <w:rPr>
          <w:rFonts w:eastAsia="宋体"/>
          <w:lang w:eastAsia="zh-CN"/>
        </w:rPr>
        <w:t>, 94(2), 291-309.</w:t>
      </w:r>
    </w:p>
    <w:p w14:paraId="2812753A" w14:textId="372BDD3D" w:rsidR="00667CA7" w:rsidRPr="00667CA7" w:rsidRDefault="00667CA7" w:rsidP="00667CA7">
      <w:pPr>
        <w:pStyle w:val="ae"/>
        <w:numPr>
          <w:ilvl w:val="0"/>
          <w:numId w:val="15"/>
        </w:numPr>
        <w:rPr>
          <w:rFonts w:eastAsia="宋体" w:hint="eastAsia"/>
          <w:lang w:eastAsia="zh-CN"/>
        </w:rPr>
      </w:pPr>
      <w:r w:rsidRPr="00667CA7">
        <w:rPr>
          <w:rFonts w:eastAsia="宋体"/>
          <w:lang w:eastAsia="zh-CN"/>
        </w:rPr>
        <w:t xml:space="preserve">Eccles, R. G., Ioannou, I., &amp; Serafeim, G. (2014). The impact of corporate sustainability on organizational processes and performance. </w:t>
      </w:r>
      <w:r w:rsidRPr="00667CA7">
        <w:rPr>
          <w:rFonts w:eastAsia="宋体"/>
          <w:i/>
          <w:iCs/>
          <w:lang w:eastAsia="zh-CN"/>
        </w:rPr>
        <w:t>Management Science</w:t>
      </w:r>
      <w:r w:rsidRPr="00667CA7">
        <w:rPr>
          <w:rFonts w:eastAsia="宋体"/>
          <w:lang w:eastAsia="zh-CN"/>
        </w:rPr>
        <w:t>, 60(11), 2835-2857.</w:t>
      </w:r>
    </w:p>
    <w:p w14:paraId="03B19A1A" w14:textId="28D34AD2" w:rsidR="00667CA7" w:rsidRPr="00667CA7" w:rsidRDefault="00667CA7" w:rsidP="00667CA7">
      <w:pPr>
        <w:pStyle w:val="ae"/>
        <w:numPr>
          <w:ilvl w:val="0"/>
          <w:numId w:val="15"/>
        </w:numPr>
        <w:rPr>
          <w:rFonts w:eastAsia="宋体" w:hint="eastAsia"/>
          <w:lang w:eastAsia="zh-CN"/>
        </w:rPr>
      </w:pPr>
      <w:r w:rsidRPr="00667CA7">
        <w:rPr>
          <w:rFonts w:eastAsia="宋体"/>
          <w:lang w:eastAsia="zh-CN"/>
        </w:rPr>
        <w:t xml:space="preserve">Lins, K. V., Servaes, H., &amp; Tamayo, A. (2017). Social capital, trust, and firm performance: The value of corporate social responsibility during the financial crisis. </w:t>
      </w:r>
      <w:r w:rsidRPr="00667CA7">
        <w:rPr>
          <w:rFonts w:eastAsia="宋体"/>
          <w:i/>
          <w:iCs/>
          <w:lang w:eastAsia="zh-CN"/>
        </w:rPr>
        <w:t>Journal of Finance</w:t>
      </w:r>
      <w:r w:rsidRPr="00667CA7">
        <w:rPr>
          <w:rFonts w:eastAsia="宋体"/>
          <w:lang w:eastAsia="zh-CN"/>
        </w:rPr>
        <w:t>, 72(4), 1785-1824.</w:t>
      </w:r>
    </w:p>
    <w:p w14:paraId="4F5BEEE4" w14:textId="4CEA3613" w:rsidR="00667CA7" w:rsidRPr="00667CA7" w:rsidRDefault="00667CA7" w:rsidP="00667CA7">
      <w:pPr>
        <w:pStyle w:val="ae"/>
        <w:numPr>
          <w:ilvl w:val="0"/>
          <w:numId w:val="15"/>
        </w:numPr>
        <w:rPr>
          <w:rFonts w:eastAsia="宋体" w:hint="eastAsia"/>
          <w:lang w:eastAsia="zh-CN"/>
        </w:rPr>
      </w:pPr>
      <w:r w:rsidRPr="00667CA7">
        <w:rPr>
          <w:rFonts w:eastAsia="宋体"/>
          <w:lang w:eastAsia="zh-CN"/>
        </w:rPr>
        <w:t xml:space="preserve">Bebchuk, L. A., &amp; Fried, J. M. (2003). Executive compensation as an agency problem. </w:t>
      </w:r>
      <w:r w:rsidRPr="00667CA7">
        <w:rPr>
          <w:rFonts w:eastAsia="宋体"/>
          <w:i/>
          <w:iCs/>
          <w:lang w:eastAsia="zh-CN"/>
        </w:rPr>
        <w:t>Journal of Economic Perspectives</w:t>
      </w:r>
      <w:r w:rsidRPr="00667CA7">
        <w:rPr>
          <w:rFonts w:eastAsia="宋体"/>
          <w:lang w:eastAsia="zh-CN"/>
        </w:rPr>
        <w:t>, 17(3), 71-92.</w:t>
      </w:r>
    </w:p>
    <w:p w14:paraId="49F61955" w14:textId="011458A1" w:rsidR="009636A2" w:rsidRPr="00667CA7" w:rsidRDefault="00667CA7" w:rsidP="00667CA7">
      <w:pPr>
        <w:pStyle w:val="ae"/>
        <w:numPr>
          <w:ilvl w:val="0"/>
          <w:numId w:val="15"/>
        </w:numPr>
        <w:rPr>
          <w:rFonts w:eastAsia="宋体" w:hint="eastAsia"/>
          <w:lang w:eastAsia="zh-CN"/>
        </w:rPr>
      </w:pPr>
      <w:r w:rsidRPr="00667CA7">
        <w:rPr>
          <w:rFonts w:eastAsia="宋体"/>
          <w:lang w:eastAsia="zh-CN"/>
        </w:rPr>
        <w:t xml:space="preserve">Fama, E. F., &amp; Jensen, M. C. (1983). Separation of ownership and control. </w:t>
      </w:r>
      <w:r w:rsidRPr="00667CA7">
        <w:rPr>
          <w:rFonts w:eastAsia="宋体"/>
          <w:i/>
          <w:iCs/>
          <w:lang w:eastAsia="zh-CN"/>
        </w:rPr>
        <w:t>Journal of Law and Economics</w:t>
      </w:r>
      <w:r w:rsidRPr="00667CA7">
        <w:rPr>
          <w:rFonts w:eastAsia="宋体"/>
          <w:lang w:eastAsia="zh-CN"/>
        </w:rPr>
        <w:t>, 26(2), 301–325.</w:t>
      </w:r>
    </w:p>
    <w:sectPr w:rsidR="009636A2" w:rsidRPr="00667CA7"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55A13" w14:textId="77777777" w:rsidR="00E557A3" w:rsidRDefault="00E557A3" w:rsidP="003A0143">
      <w:pPr>
        <w:spacing w:after="0" w:line="240" w:lineRule="auto"/>
      </w:pPr>
      <w:r>
        <w:separator/>
      </w:r>
    </w:p>
  </w:endnote>
  <w:endnote w:type="continuationSeparator" w:id="0">
    <w:p w14:paraId="52B7023E" w14:textId="77777777" w:rsidR="00E557A3" w:rsidRDefault="00E557A3" w:rsidP="003A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78AD9" w14:textId="38FDA9CF" w:rsidR="003A0143" w:rsidRPr="003A0143" w:rsidRDefault="00000000" w:rsidP="003A0143">
    <w:pPr>
      <w:pStyle w:val="a7"/>
      <w:ind w:right="-46" w:firstLine="720"/>
      <w:jc w:val="right"/>
      <w:rPr>
        <w:rFonts w:cs="Times New Roman"/>
      </w:rPr>
    </w:pPr>
    <w:sdt>
      <w:sdtPr>
        <w:rPr>
          <w:rFonts w:cs="Times New Roman"/>
        </w:rPr>
        <w:id w:val="399264263"/>
        <w:docPartObj>
          <w:docPartGallery w:val="Page Numbers (Bottom of Page)"/>
          <w:docPartUnique/>
        </w:docPartObj>
      </w:sdtPr>
      <w:sdtEndPr>
        <w:rPr>
          <w:noProof/>
          <w:sz w:val="20"/>
          <w:szCs w:val="20"/>
        </w:rPr>
      </w:sdtEndPr>
      <w:sdtContent>
        <w:r w:rsidR="003A0143" w:rsidRPr="0051670D">
          <w:rPr>
            <w:rFonts w:cs="Times New Roman"/>
            <w:sz w:val="20"/>
            <w:szCs w:val="20"/>
          </w:rPr>
          <w:fldChar w:fldCharType="begin"/>
        </w:r>
        <w:r w:rsidR="003A0143" w:rsidRPr="0051670D">
          <w:rPr>
            <w:rFonts w:cs="Times New Roman"/>
            <w:sz w:val="20"/>
            <w:szCs w:val="20"/>
          </w:rPr>
          <w:instrText xml:space="preserve"> PAGE   \* MERGEFORMAT </w:instrText>
        </w:r>
        <w:r w:rsidR="003A0143" w:rsidRPr="0051670D">
          <w:rPr>
            <w:rFonts w:cs="Times New Roman"/>
            <w:sz w:val="20"/>
            <w:szCs w:val="20"/>
          </w:rPr>
          <w:fldChar w:fldCharType="separate"/>
        </w:r>
        <w:r w:rsidR="003A0143">
          <w:rPr>
            <w:rFonts w:cs="Times New Roman"/>
            <w:sz w:val="20"/>
            <w:szCs w:val="20"/>
          </w:rPr>
          <w:t>1</w:t>
        </w:r>
        <w:r w:rsidR="003A0143" w:rsidRPr="0051670D">
          <w:rPr>
            <w:rFonts w:cs="Times New Roman"/>
            <w:sz w:val="20"/>
            <w:szCs w:val="20"/>
          </w:rPr>
          <w:fldChar w:fldCharType="end"/>
        </w:r>
        <w:r w:rsidR="003A0143" w:rsidRPr="0051670D">
          <w:rPr>
            <w:rFonts w:cs="Times New Roman"/>
            <w:sz w:val="20"/>
            <w:szCs w:val="20"/>
          </w:rPr>
          <w:t xml:space="preserve"> / </w:t>
        </w:r>
        <w:r w:rsidR="003A0143" w:rsidRPr="0051670D">
          <w:rPr>
            <w:rFonts w:cs="Times New Roman"/>
            <w:sz w:val="20"/>
            <w:szCs w:val="20"/>
          </w:rPr>
          <w:fldChar w:fldCharType="begin"/>
        </w:r>
        <w:r w:rsidR="003A0143" w:rsidRPr="0051670D">
          <w:rPr>
            <w:rFonts w:cs="Times New Roman"/>
            <w:sz w:val="20"/>
            <w:szCs w:val="20"/>
          </w:rPr>
          <w:instrText xml:space="preserve"> NUMPAGES </w:instrText>
        </w:r>
        <w:r w:rsidR="003A0143" w:rsidRPr="0051670D">
          <w:rPr>
            <w:rFonts w:cs="Times New Roman"/>
            <w:sz w:val="20"/>
            <w:szCs w:val="20"/>
          </w:rPr>
          <w:fldChar w:fldCharType="separate"/>
        </w:r>
        <w:r w:rsidR="003A0143">
          <w:rPr>
            <w:rFonts w:cs="Times New Roman"/>
            <w:sz w:val="20"/>
            <w:szCs w:val="20"/>
          </w:rPr>
          <w:t>2</w:t>
        </w:r>
        <w:r w:rsidR="003A0143" w:rsidRPr="0051670D">
          <w:rPr>
            <w:rFonts w:cs="Times New Roman"/>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61FA3" w14:textId="77777777" w:rsidR="00E557A3" w:rsidRDefault="00E557A3" w:rsidP="003A0143">
      <w:pPr>
        <w:spacing w:after="0" w:line="240" w:lineRule="auto"/>
      </w:pPr>
      <w:r>
        <w:separator/>
      </w:r>
    </w:p>
  </w:footnote>
  <w:footnote w:type="continuationSeparator" w:id="0">
    <w:p w14:paraId="118E394E" w14:textId="77777777" w:rsidR="00E557A3" w:rsidRDefault="00E557A3" w:rsidP="003A0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73B759D"/>
    <w:multiLevelType w:val="hybridMultilevel"/>
    <w:tmpl w:val="15CEF20E"/>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2398382F"/>
    <w:multiLevelType w:val="hybridMultilevel"/>
    <w:tmpl w:val="2CF86E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7076173"/>
    <w:multiLevelType w:val="hybridMultilevel"/>
    <w:tmpl w:val="731EBBAE"/>
    <w:lvl w:ilvl="0" w:tplc="C5500F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6D7C61"/>
    <w:multiLevelType w:val="hybridMultilevel"/>
    <w:tmpl w:val="BF4A0886"/>
    <w:lvl w:ilvl="0" w:tplc="0BCE276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1F823C5"/>
    <w:multiLevelType w:val="hybridMultilevel"/>
    <w:tmpl w:val="F9EA17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6BE53F9"/>
    <w:multiLevelType w:val="hybridMultilevel"/>
    <w:tmpl w:val="61CC29E8"/>
    <w:lvl w:ilvl="0" w:tplc="60146A04">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6058755">
    <w:abstractNumId w:val="8"/>
  </w:num>
  <w:num w:numId="2" w16cid:durableId="567964005">
    <w:abstractNumId w:val="6"/>
  </w:num>
  <w:num w:numId="3" w16cid:durableId="296573871">
    <w:abstractNumId w:val="5"/>
  </w:num>
  <w:num w:numId="4" w16cid:durableId="1854030936">
    <w:abstractNumId w:val="4"/>
  </w:num>
  <w:num w:numId="5" w16cid:durableId="1970238508">
    <w:abstractNumId w:val="7"/>
  </w:num>
  <w:num w:numId="6" w16cid:durableId="1768312251">
    <w:abstractNumId w:val="3"/>
  </w:num>
  <w:num w:numId="7" w16cid:durableId="183439984">
    <w:abstractNumId w:val="2"/>
  </w:num>
  <w:num w:numId="8" w16cid:durableId="79762267">
    <w:abstractNumId w:val="1"/>
  </w:num>
  <w:num w:numId="9" w16cid:durableId="1865553424">
    <w:abstractNumId w:val="0"/>
  </w:num>
  <w:num w:numId="10" w16cid:durableId="1860968135">
    <w:abstractNumId w:val="13"/>
  </w:num>
  <w:num w:numId="11" w16cid:durableId="1747728534">
    <w:abstractNumId w:val="9"/>
  </w:num>
  <w:num w:numId="12" w16cid:durableId="1773042283">
    <w:abstractNumId w:val="10"/>
  </w:num>
  <w:num w:numId="13" w16cid:durableId="1313146137">
    <w:abstractNumId w:val="12"/>
  </w:num>
  <w:num w:numId="14" w16cid:durableId="1019355011">
    <w:abstractNumId w:val="11"/>
  </w:num>
  <w:num w:numId="15" w16cid:durableId="967511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FE3"/>
    <w:rsid w:val="00034616"/>
    <w:rsid w:val="0006063C"/>
    <w:rsid w:val="0015074B"/>
    <w:rsid w:val="0029639D"/>
    <w:rsid w:val="00326F90"/>
    <w:rsid w:val="003A0143"/>
    <w:rsid w:val="00497E0C"/>
    <w:rsid w:val="00667CA7"/>
    <w:rsid w:val="00732ED4"/>
    <w:rsid w:val="00831853"/>
    <w:rsid w:val="00890BC5"/>
    <w:rsid w:val="009636A2"/>
    <w:rsid w:val="009739A3"/>
    <w:rsid w:val="00AA1D8D"/>
    <w:rsid w:val="00B47730"/>
    <w:rsid w:val="00B47757"/>
    <w:rsid w:val="00CB0664"/>
    <w:rsid w:val="00E557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56814"/>
  <w14:defaultImageDpi w14:val="300"/>
  <w15:docId w15:val="{F729B38C-0BFD-4E4F-869C-2C177FDE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qFormat/>
    <w:rsid w:val="00E618BF"/>
    <w:pPr>
      <w:tabs>
        <w:tab w:val="center" w:pos="4680"/>
        <w:tab w:val="right" w:pos="9360"/>
      </w:tabs>
      <w:spacing w:after="0" w:line="240" w:lineRule="auto"/>
    </w:pPr>
  </w:style>
  <w:style w:type="character" w:customStyle="1" w:styleId="a8">
    <w:name w:val="页脚 字符"/>
    <w:basedOn w:val="a2"/>
    <w:link w:val="a7"/>
    <w:uiPriority w:val="99"/>
    <w:qFormat/>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8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570</Words>
  <Characters>3335</Characters>
  <Application>Microsoft Office Word</Application>
  <DocSecurity>0</DocSecurity>
  <Lines>79</Lines>
  <Paragraphs>61</Paragraphs>
  <ScaleCrop>false</ScaleCrop>
  <HeadingPairs>
    <vt:vector size="2" baseType="variant">
      <vt:variant>
        <vt:lpstr>Title</vt:lpstr>
      </vt:variant>
      <vt:variant>
        <vt:i4>1</vt:i4>
      </vt:variant>
    </vt:vector>
  </HeadingPairs>
  <TitlesOfParts>
    <vt:vector size="1" baseType="lpstr">
      <vt:lpstr/>
    </vt:vector>
  </TitlesOfParts>
  <Manager/>
  <Company>The University of Melbourne</Company>
  <LinksUpToDate>false</LinksUpToDate>
  <CharactersWithSpaces>3844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Governance and Sustainability Research Proposal Template</dc:title>
  <dc:subject>Corporate Governance and Sustainability</dc:subject>
  <dc:creator>A/Professor Bo Qin</dc:creator>
  <cp:keywords/>
  <dc:description/>
  <cp:lastModifiedBy>川 马</cp:lastModifiedBy>
  <cp:revision>5</cp:revision>
  <dcterms:created xsi:type="dcterms:W3CDTF">2013-12-23T23:15:00Z</dcterms:created>
  <dcterms:modified xsi:type="dcterms:W3CDTF">2025-07-02T07:15:00Z</dcterms:modified>
  <cp:category/>
</cp:coreProperties>
</file>