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24"/>
        </w:rPr>
        <w:t>CENTRO UNIVERSITÁRIO SENAC</w:t>
      </w:r>
    </w:p>
    <w:p>
      <w:pPr>
        <w:spacing w:before="0" w:after="120"/>
        <w:jc w:val="center"/>
      </w:pPr>
      <w:r>
        <w:rPr>
          <w:rFonts w:ascii="Times New Roman" w:hAnsi="Times New Roman"/>
          <w:b/>
          <w:sz w:val="24"/>
        </w:rPr>
        <w:t>ANÁLISE E DESENVOLVIMENTO DE SISTEMAS</w:t>
      </w:r>
    </w:p>
    <w:p>
      <w:pPr>
        <w:spacing w:before="0" w:after="480"/>
        <w:jc w:val="center"/>
      </w:pPr>
      <w:r>
        <w:rPr>
          <w:rFonts w:ascii="Times New Roman" w:hAnsi="Times New Roman"/>
          <w:b/>
          <w:sz w:val="24"/>
        </w:rPr>
        <w:t>DISCIPLINA: UX – ARQUITETURA E USABILIDADE</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sz w:val="24"/>
        </w:rPr>
        <w:t>DAVID SOUZA</w:t>
      </w:r>
    </w:p>
    <w:p>
      <w:pPr>
        <w:spacing w:before="0" w:after="120"/>
        <w:jc w:val="center"/>
      </w:pPr>
      <w:r>
        <w:rPr>
          <w:rFonts w:ascii="Times New Roman" w:hAnsi="Times New Roman"/>
          <w:b/>
          <w:sz w:val="24"/>
        </w:rPr>
        <w:t>LUCAS MICHELS</w:t>
      </w:r>
    </w:p>
    <w:p>
      <w:pPr>
        <w:spacing w:before="0" w:after="120"/>
        <w:jc w:val="center"/>
      </w:pPr>
      <w:r>
        <w:rPr>
          <w:rFonts w:ascii="Times New Roman" w:hAnsi="Times New Roman"/>
          <w:b/>
          <w:sz w:val="24"/>
        </w:rPr>
        <w:t>MATHEUS BOLLER</w:t>
      </w:r>
    </w:p>
    <w:p>
      <w:pPr>
        <w:spacing w:before="0" w:after="720"/>
        <w:jc w:val="center"/>
      </w:pPr>
      <w:r>
        <w:rPr>
          <w:rFonts w:ascii="Times New Roman" w:hAnsi="Times New Roman"/>
          <w:b/>
          <w:sz w:val="24"/>
        </w:rPr>
        <w:t>PEDRO KARATCHUK</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sz w:val="32"/>
        </w:rPr>
        <w:t>MERCADOCERTO</w:t>
      </w:r>
    </w:p>
    <w:p>
      <w:pPr>
        <w:spacing w:before="0" w:after="120"/>
        <w:jc w:val="center"/>
      </w:pPr>
      <w:r>
        <w:rPr>
          <w:rFonts w:ascii="Times New Roman" w:hAnsi="Times New Roman"/>
          <w:b/>
          <w:sz w:val="28"/>
        </w:rPr>
        <w:t>Projeto de Interface Web Centrado no Usuário:</w:t>
      </w:r>
    </w:p>
    <w:p>
      <w:pPr>
        <w:spacing w:before="0" w:after="720"/>
        <w:jc w:val="center"/>
      </w:pPr>
      <w:r>
        <w:rPr>
          <w:rFonts w:ascii="Times New Roman" w:hAnsi="Times New Roman"/>
          <w:b/>
          <w:sz w:val="28"/>
        </w:rPr>
        <w:t>Melhorias de UX e Aplicação dos Conceitos de IHC</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sz w:val="24"/>
        </w:rPr>
        <w:t>Curitiba</w:t>
      </w:r>
    </w:p>
    <w:p>
      <w:pPr>
        <w:spacing w:before="0" w:after="120"/>
        <w:jc w:val="center"/>
      </w:pPr>
      <w:r>
        <w:rPr>
          <w:rFonts w:ascii="Times New Roman" w:hAnsi="Times New Roman"/>
          <w:b/>
          <w:sz w:val="24"/>
        </w:rPr>
        <w:t>2026</w:t>
      </w:r>
    </w:p>
    <w:p>
      <w:r>
        <w:br w:type="page"/>
      </w:r>
    </w:p>
    <w:p>
      <w:pPr>
        <w:spacing w:before="0" w:after="120"/>
        <w:jc w:val="center"/>
      </w:pPr>
      <w:r>
        <w:rPr>
          <w:rFonts w:ascii="Times New Roman" w:hAnsi="Times New Roman"/>
          <w:b/>
          <w:sz w:val="24"/>
        </w:rPr>
        <w:t>DAVID SOUZA</w:t>
      </w:r>
    </w:p>
    <w:p>
      <w:pPr>
        <w:spacing w:before="0" w:after="120"/>
        <w:jc w:val="center"/>
      </w:pPr>
      <w:r>
        <w:rPr>
          <w:rFonts w:ascii="Times New Roman" w:hAnsi="Times New Roman"/>
          <w:b/>
          <w:sz w:val="24"/>
        </w:rPr>
        <w:t>LUCAS MICHELS</w:t>
      </w:r>
    </w:p>
    <w:p>
      <w:pPr>
        <w:spacing w:before="0" w:after="120"/>
        <w:jc w:val="center"/>
      </w:pPr>
      <w:r>
        <w:rPr>
          <w:rFonts w:ascii="Times New Roman" w:hAnsi="Times New Roman"/>
          <w:b/>
          <w:sz w:val="24"/>
        </w:rPr>
        <w:t>MATHEUS BOLLER</w:t>
      </w:r>
    </w:p>
    <w:p>
      <w:pPr>
        <w:spacing w:before="0" w:after="960"/>
        <w:jc w:val="center"/>
      </w:pPr>
      <w:r>
        <w:rPr>
          <w:rFonts w:ascii="Times New Roman" w:hAnsi="Times New Roman"/>
          <w:b/>
          <w:sz w:val="24"/>
        </w:rPr>
        <w:t>PEDRO KARATCHUK</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sz w:val="32"/>
        </w:rPr>
        <w:t>MERCADOCERTO</w:t>
      </w:r>
    </w:p>
    <w:p>
      <w:pPr>
        <w:spacing w:before="0" w:after="120"/>
        <w:jc w:val="center"/>
      </w:pPr>
      <w:r>
        <w:rPr>
          <w:rFonts w:ascii="Times New Roman" w:hAnsi="Times New Roman"/>
          <w:b/>
          <w:sz w:val="26"/>
        </w:rPr>
        <w:t>Projeto de Interface Web Centrado no Usuário:</w:t>
      </w:r>
    </w:p>
    <w:p>
      <w:pPr>
        <w:spacing w:before="0" w:after="720"/>
        <w:jc w:val="center"/>
      </w:pPr>
      <w:r>
        <w:rPr>
          <w:rFonts w:ascii="Times New Roman" w:hAnsi="Times New Roman"/>
          <w:b/>
          <w:sz w:val="26"/>
        </w:rPr>
        <w:t>Melhorias de UX e Aplicação dos Conceitos de IHC</w:t>
      </w:r>
    </w:p>
    <w:p>
      <w:pPr>
        <w:spacing w:line="240" w:lineRule="auto" w:before="480" w:after="480"/>
        <w:ind w:left="4535"/>
        <w:jc w:val="both"/>
      </w:pPr>
      <w:r>
        <w:rPr>
          <w:rFonts w:ascii="Times New Roman" w:hAnsi="Times New Roman"/>
          <w:sz w:val="22"/>
        </w:rPr>
        <w:t>Trabalho 2 apresentado à disciplina de UX – Arquitetura e Usabilidade, do curso de Análise e Desenvolvimento de Sistemas, como parte dos requisitos para avaliação parcial.</w:t>
        <w:br/>
        <w:br/>
        <w:t>Professor: Carlos Alberto Pedroso Junior.</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val="0"/>
          <w:sz w:val="24"/>
        </w:rPr>
        <w:t xml:space="preserve"> </w:t>
      </w:r>
    </w:p>
    <w:p>
      <w:pPr>
        <w:spacing w:before="0" w:after="120"/>
        <w:jc w:val="center"/>
      </w:pPr>
      <w:r>
        <w:rPr>
          <w:rFonts w:ascii="Times New Roman" w:hAnsi="Times New Roman"/>
          <w:b/>
          <w:sz w:val="24"/>
        </w:rPr>
        <w:t>Curitiba</w:t>
      </w:r>
    </w:p>
    <w:p>
      <w:pPr>
        <w:spacing w:before="0" w:after="120"/>
        <w:jc w:val="center"/>
      </w:pPr>
      <w:r>
        <w:rPr>
          <w:rFonts w:ascii="Times New Roman" w:hAnsi="Times New Roman"/>
          <w:b/>
          <w:sz w:val="24"/>
        </w:rPr>
        <w:t>2026</w:t>
      </w:r>
    </w:p>
    <w:p>
      <w:r>
        <w:br w:type="page"/>
      </w:r>
    </w:p>
    <w:p>
      <w:pPr>
        <w:pStyle w:val="Heading1"/>
        <w:spacing w:before="360" w:after="160"/>
        <w:jc w:val="left"/>
      </w:pPr>
      <w:r>
        <w:rPr>
          <w:rFonts w:ascii="Times New Roman" w:hAnsi="Times New Roman"/>
          <w:color w:val="000000"/>
          <w:sz w:val="28"/>
        </w:rPr>
        <w:t>SUMÁRIO</w:t>
      </w:r>
    </w:p>
    <w:p>
      <w:pPr>
        <w:tabs>
          <w:tab w:pos="8787" w:val="right"/>
        </w:tabs>
        <w:spacing w:line="360" w:lineRule="auto" w:after="0"/>
      </w:pPr>
      <w:r>
        <w:rPr>
          <w:rFonts w:ascii="Times New Roman" w:hAnsi="Times New Roman"/>
          <w:sz w:val="24"/>
        </w:rPr>
        <w:t>1 INTRODUÇÃO</w:t>
        <w:tab/>
        <w:t>4</w:t>
      </w:r>
    </w:p>
    <w:p>
      <w:pPr>
        <w:tabs>
          <w:tab w:pos="8787" w:val="right"/>
        </w:tabs>
        <w:spacing w:line="360" w:lineRule="auto" w:after="0"/>
      </w:pPr>
      <w:r>
        <w:rPr>
          <w:rFonts w:ascii="Times New Roman" w:hAnsi="Times New Roman"/>
          <w:sz w:val="24"/>
        </w:rPr>
        <w:t>2 FUNDAMENTAÇÃO TEÓRICA</w:t>
        <w:tab/>
        <w:t>5</w:t>
      </w:r>
    </w:p>
    <w:p>
      <w:pPr>
        <w:tabs>
          <w:tab w:pos="8787" w:val="right"/>
        </w:tabs>
        <w:spacing w:line="360" w:lineRule="auto" w:after="0"/>
      </w:pPr>
      <w:r>
        <w:rPr>
          <w:rFonts w:ascii="Times New Roman" w:hAnsi="Times New Roman"/>
          <w:sz w:val="24"/>
        </w:rPr>
        <w:t>2.1 Interação Humano-Computador</w:t>
        <w:tab/>
        <w:t>5</w:t>
      </w:r>
    </w:p>
    <w:p>
      <w:pPr>
        <w:tabs>
          <w:tab w:pos="8787" w:val="right"/>
        </w:tabs>
        <w:spacing w:line="360" w:lineRule="auto" w:after="0"/>
      </w:pPr>
      <w:r>
        <w:rPr>
          <w:rFonts w:ascii="Times New Roman" w:hAnsi="Times New Roman"/>
          <w:sz w:val="24"/>
        </w:rPr>
        <w:t>2.2 Qualidade de Uso</w:t>
        <w:tab/>
        <w:t>6</w:t>
      </w:r>
    </w:p>
    <w:p>
      <w:pPr>
        <w:tabs>
          <w:tab w:pos="8787" w:val="right"/>
        </w:tabs>
        <w:spacing w:line="360" w:lineRule="auto" w:after="0"/>
      </w:pPr>
      <w:r>
        <w:rPr>
          <w:rFonts w:ascii="Times New Roman" w:hAnsi="Times New Roman"/>
          <w:sz w:val="24"/>
        </w:rPr>
        <w:t>2.3 Interface</w:t>
        <w:tab/>
        <w:t>6</w:t>
      </w:r>
    </w:p>
    <w:p>
      <w:pPr>
        <w:tabs>
          <w:tab w:pos="8787" w:val="right"/>
        </w:tabs>
        <w:spacing w:line="360" w:lineRule="auto" w:after="0"/>
      </w:pPr>
      <w:r>
        <w:rPr>
          <w:rFonts w:ascii="Times New Roman" w:hAnsi="Times New Roman"/>
          <w:sz w:val="24"/>
        </w:rPr>
        <w:t>2.4 Affordance</w:t>
        <w:tab/>
        <w:t>7</w:t>
      </w:r>
    </w:p>
    <w:p>
      <w:pPr>
        <w:tabs>
          <w:tab w:pos="8787" w:val="right"/>
        </w:tabs>
        <w:spacing w:line="360" w:lineRule="auto" w:after="0"/>
      </w:pPr>
      <w:r>
        <w:rPr>
          <w:rFonts w:ascii="Times New Roman" w:hAnsi="Times New Roman"/>
          <w:sz w:val="24"/>
        </w:rPr>
        <w:t>3 METODOLOGIA</w:t>
        <w:tab/>
        <w:t>8</w:t>
      </w:r>
    </w:p>
    <w:p>
      <w:pPr>
        <w:tabs>
          <w:tab w:pos="8787" w:val="right"/>
        </w:tabs>
        <w:spacing w:line="360" w:lineRule="auto" w:after="0"/>
      </w:pPr>
      <w:r>
        <w:rPr>
          <w:rFonts w:ascii="Times New Roman" w:hAnsi="Times New Roman"/>
          <w:sz w:val="24"/>
        </w:rPr>
        <w:t>4 PARTE 1 – DOCUMENTAÇÃO DAS MELHORIAS</w:t>
        <w:tab/>
        <w:t>9</w:t>
      </w:r>
    </w:p>
    <w:p>
      <w:pPr>
        <w:tabs>
          <w:tab w:pos="8787" w:val="right"/>
        </w:tabs>
        <w:spacing w:line="360" w:lineRule="auto" w:after="0"/>
      </w:pPr>
      <w:r>
        <w:rPr>
          <w:rFonts w:ascii="Times New Roman" w:hAnsi="Times New Roman"/>
          <w:sz w:val="24"/>
        </w:rPr>
        <w:t>4.1 Tipografia e legibilidade</w:t>
        <w:tab/>
        <w:t>9</w:t>
      </w:r>
    </w:p>
    <w:p>
      <w:pPr>
        <w:tabs>
          <w:tab w:pos="8787" w:val="right"/>
        </w:tabs>
        <w:spacing w:line="360" w:lineRule="auto" w:after="0"/>
      </w:pPr>
      <w:r>
        <w:rPr>
          <w:rFonts w:ascii="Times New Roman" w:hAnsi="Times New Roman"/>
          <w:sz w:val="24"/>
        </w:rPr>
        <w:t>4.2 Contraste e cores</w:t>
        <w:tab/>
        <w:t>10</w:t>
      </w:r>
    </w:p>
    <w:p>
      <w:pPr>
        <w:tabs>
          <w:tab w:pos="8787" w:val="right"/>
        </w:tabs>
        <w:spacing w:line="360" w:lineRule="auto" w:after="0"/>
      </w:pPr>
      <w:r>
        <w:rPr>
          <w:rFonts w:ascii="Times New Roman" w:hAnsi="Times New Roman"/>
          <w:sz w:val="24"/>
        </w:rPr>
        <w:t>4.3 Navegação e botão Voltar</w:t>
        <w:tab/>
        <w:t>10</w:t>
      </w:r>
    </w:p>
    <w:p>
      <w:pPr>
        <w:tabs>
          <w:tab w:pos="8787" w:val="right"/>
        </w:tabs>
        <w:spacing w:line="360" w:lineRule="auto" w:after="0"/>
      </w:pPr>
      <w:r>
        <w:rPr>
          <w:rFonts w:ascii="Times New Roman" w:hAnsi="Times New Roman"/>
          <w:sz w:val="24"/>
        </w:rPr>
        <w:t>4.4 Tela do mapa interativo</w:t>
        <w:tab/>
        <w:t>11</w:t>
      </w:r>
    </w:p>
    <w:p>
      <w:pPr>
        <w:tabs>
          <w:tab w:pos="8787" w:val="right"/>
        </w:tabs>
        <w:spacing w:line="360" w:lineRule="auto" w:after="0"/>
      </w:pPr>
      <w:r>
        <w:rPr>
          <w:rFonts w:ascii="Times New Roman" w:hAnsi="Times New Roman"/>
          <w:sz w:val="24"/>
        </w:rPr>
        <w:t>4.5 Separação de perfis: Consumidor e Comerciante</w:t>
        <w:tab/>
        <w:t>11</w:t>
      </w:r>
    </w:p>
    <w:p>
      <w:pPr>
        <w:tabs>
          <w:tab w:pos="8787" w:val="right"/>
        </w:tabs>
        <w:spacing w:line="360" w:lineRule="auto" w:after="0"/>
      </w:pPr>
      <w:r>
        <w:rPr>
          <w:rFonts w:ascii="Times New Roman" w:hAnsi="Times New Roman"/>
          <w:sz w:val="24"/>
        </w:rPr>
        <w:t>4.6 Validação de preços (anti-fraude)</w:t>
        <w:tab/>
        <w:t>12</w:t>
      </w:r>
    </w:p>
    <w:p>
      <w:pPr>
        <w:tabs>
          <w:tab w:pos="8787" w:val="right"/>
        </w:tabs>
        <w:spacing w:line="360" w:lineRule="auto" w:after="0"/>
      </w:pPr>
      <w:r>
        <w:rPr>
          <w:rFonts w:ascii="Times New Roman" w:hAnsi="Times New Roman"/>
          <w:sz w:val="24"/>
        </w:rPr>
        <w:t>4.7 Cadastro de produto – UX do formulário</w:t>
        <w:tab/>
        <w:t>13</w:t>
      </w:r>
    </w:p>
    <w:p>
      <w:pPr>
        <w:tabs>
          <w:tab w:pos="8787" w:val="right"/>
        </w:tabs>
        <w:spacing w:line="360" w:lineRule="auto" w:after="0"/>
      </w:pPr>
      <w:r>
        <w:rPr>
          <w:rFonts w:ascii="Times New Roman" w:hAnsi="Times New Roman"/>
          <w:sz w:val="24"/>
        </w:rPr>
        <w:t>4.8 Lista de compras</w:t>
        <w:tab/>
        <w:t>13</w:t>
      </w:r>
    </w:p>
    <w:p>
      <w:pPr>
        <w:tabs>
          <w:tab w:pos="8787" w:val="right"/>
        </w:tabs>
        <w:spacing w:line="360" w:lineRule="auto" w:after="0"/>
      </w:pPr>
      <w:r>
        <w:rPr>
          <w:rFonts w:ascii="Times New Roman" w:hAnsi="Times New Roman"/>
          <w:sz w:val="24"/>
        </w:rPr>
        <w:t>4.9 Tela inicial (Home)</w:t>
        <w:tab/>
        <w:t>14</w:t>
      </w:r>
    </w:p>
    <w:p>
      <w:pPr>
        <w:tabs>
          <w:tab w:pos="8787" w:val="right"/>
        </w:tabs>
        <w:spacing w:line="360" w:lineRule="auto" w:after="0"/>
      </w:pPr>
      <w:r>
        <w:rPr>
          <w:rFonts w:ascii="Times New Roman" w:hAnsi="Times New Roman"/>
          <w:sz w:val="24"/>
        </w:rPr>
        <w:t>4.10 Responsividade</w:t>
        <w:tab/>
        <w:t>14</w:t>
      </w:r>
    </w:p>
    <w:p>
      <w:pPr>
        <w:tabs>
          <w:tab w:pos="8787" w:val="right"/>
        </w:tabs>
        <w:spacing w:line="360" w:lineRule="auto" w:after="0"/>
      </w:pPr>
      <w:r>
        <w:rPr>
          <w:rFonts w:ascii="Times New Roman" w:hAnsi="Times New Roman"/>
          <w:sz w:val="24"/>
        </w:rPr>
        <w:t>4.11 Avaliações e ranking</w:t>
        <w:tab/>
        <w:t>15</w:t>
      </w:r>
    </w:p>
    <w:p>
      <w:pPr>
        <w:tabs>
          <w:tab w:pos="8787" w:val="right"/>
        </w:tabs>
        <w:spacing w:line="360" w:lineRule="auto" w:after="0"/>
      </w:pPr>
      <w:r>
        <w:rPr>
          <w:rFonts w:ascii="Times New Roman" w:hAnsi="Times New Roman"/>
          <w:sz w:val="24"/>
        </w:rPr>
        <w:t>4.12 Correções de bugs</w:t>
        <w:tab/>
        <w:t>15</w:t>
      </w:r>
    </w:p>
    <w:p>
      <w:pPr>
        <w:tabs>
          <w:tab w:pos="8787" w:val="right"/>
        </w:tabs>
        <w:spacing w:line="360" w:lineRule="auto" w:after="0"/>
      </w:pPr>
      <w:r>
        <w:rPr>
          <w:rFonts w:ascii="Times New Roman" w:hAnsi="Times New Roman"/>
          <w:sz w:val="24"/>
        </w:rPr>
        <w:t>5 PARTE 2 – APLICAÇÃO DOS CONCEITOS-CHAVE DE IHC</w:t>
        <w:tab/>
        <w:t>16</w:t>
      </w:r>
    </w:p>
    <w:p>
      <w:pPr>
        <w:tabs>
          <w:tab w:pos="8787" w:val="right"/>
        </w:tabs>
        <w:spacing w:line="360" w:lineRule="auto" w:after="0"/>
      </w:pPr>
      <w:r>
        <w:rPr>
          <w:rFonts w:ascii="Times New Roman" w:hAnsi="Times New Roman"/>
          <w:sz w:val="24"/>
        </w:rPr>
        <w:t>5.1 Interação</w:t>
        <w:tab/>
        <w:t>16</w:t>
      </w:r>
    </w:p>
    <w:p>
      <w:pPr>
        <w:tabs>
          <w:tab w:pos="8787" w:val="right"/>
        </w:tabs>
        <w:spacing w:line="360" w:lineRule="auto" w:after="0"/>
      </w:pPr>
      <w:r>
        <w:rPr>
          <w:rFonts w:ascii="Times New Roman" w:hAnsi="Times New Roman"/>
          <w:sz w:val="24"/>
        </w:rPr>
        <w:t>5.2 Affordance</w:t>
        <w:tab/>
        <w:t>18</w:t>
      </w:r>
    </w:p>
    <w:p>
      <w:pPr>
        <w:tabs>
          <w:tab w:pos="8787" w:val="right"/>
        </w:tabs>
        <w:spacing w:line="360" w:lineRule="auto" w:after="0"/>
      </w:pPr>
      <w:r>
        <w:rPr>
          <w:rFonts w:ascii="Times New Roman" w:hAnsi="Times New Roman"/>
          <w:sz w:val="24"/>
        </w:rPr>
        <w:t>5.3 Interface</w:t>
        <w:tab/>
        <w:t>19</w:t>
      </w:r>
    </w:p>
    <w:p>
      <w:pPr>
        <w:tabs>
          <w:tab w:pos="8787" w:val="right"/>
        </w:tabs>
        <w:spacing w:line="360" w:lineRule="auto" w:after="0"/>
      </w:pPr>
      <w:r>
        <w:rPr>
          <w:rFonts w:ascii="Times New Roman" w:hAnsi="Times New Roman"/>
          <w:sz w:val="24"/>
        </w:rPr>
        <w:t>5.4 Qualidade de Uso</w:t>
        <w:tab/>
        <w:t>21</w:t>
      </w:r>
    </w:p>
    <w:p>
      <w:pPr>
        <w:tabs>
          <w:tab w:pos="8787" w:val="right"/>
        </w:tabs>
        <w:spacing w:line="360" w:lineRule="auto" w:after="0"/>
      </w:pPr>
      <w:r>
        <w:rPr>
          <w:rFonts w:ascii="Times New Roman" w:hAnsi="Times New Roman"/>
          <w:sz w:val="24"/>
        </w:rPr>
        <w:t>6 QUADRO RESUMO – MELHORIAS E CONCEITOS APLICADOS</w:t>
        <w:tab/>
        <w:t>23</w:t>
      </w:r>
    </w:p>
    <w:p>
      <w:pPr>
        <w:tabs>
          <w:tab w:pos="8787" w:val="right"/>
        </w:tabs>
        <w:spacing w:line="360" w:lineRule="auto" w:after="0"/>
      </w:pPr>
      <w:r>
        <w:rPr>
          <w:rFonts w:ascii="Times New Roman" w:hAnsi="Times New Roman"/>
          <w:sz w:val="24"/>
        </w:rPr>
        <w:t>7 ANÁLISE CRÍTICA E CONSIDERAÇÕES FINAIS</w:t>
        <w:tab/>
        <w:t>24</w:t>
      </w:r>
    </w:p>
    <w:p>
      <w:pPr>
        <w:tabs>
          <w:tab w:pos="8787" w:val="right"/>
        </w:tabs>
        <w:spacing w:line="360" w:lineRule="auto" w:after="0"/>
      </w:pPr>
      <w:r>
        <w:rPr>
          <w:rFonts w:ascii="Times New Roman" w:hAnsi="Times New Roman"/>
          <w:sz w:val="24"/>
        </w:rPr>
        <w:t>REFERÊNCIAS</w:t>
        <w:tab/>
        <w:t>26</w:t>
      </w:r>
    </w:p>
    <w:p>
      <w:r>
        <w:br w:type="page"/>
      </w:r>
    </w:p>
    <w:p>
      <w:pPr>
        <w:pStyle w:val="Heading1"/>
        <w:spacing w:before="360" w:after="160"/>
        <w:jc w:val="left"/>
      </w:pPr>
      <w:r>
        <w:rPr>
          <w:rFonts w:ascii="Times New Roman" w:hAnsi="Times New Roman"/>
          <w:color w:val="000000"/>
          <w:sz w:val="28"/>
        </w:rPr>
        <w:t>1 INTRODUÇÃO</w:t>
      </w:r>
    </w:p>
    <w:p>
      <w:pPr>
        <w:spacing w:line="360" w:lineRule="auto" w:before="0" w:after="120"/>
        <w:ind w:firstLine="709"/>
        <w:jc w:val="both"/>
      </w:pPr>
      <w:r>
        <w:rPr>
          <w:rFonts w:ascii="Times New Roman" w:hAnsi="Times New Roman"/>
          <w:b w:val="0"/>
          <w:i w:val="0"/>
          <w:sz w:val="24"/>
        </w:rPr>
        <w:t>Este trabalho documenta a segunda fase do projeto MercadoCerto, plataforma web de comparação de preços e avaliação de mercados desenvolvida ao longo da disciplina de UX – Arquitetura e Usabilidade. A proposta desta etapa é revisar a interface construída na primeira entrega, aplicando de forma deliberada os conceitos de interação, affordance, interface e qualidade de uso estudados em aula.</w:t>
      </w:r>
    </w:p>
    <w:p>
      <w:pPr>
        <w:spacing w:line="360" w:lineRule="auto" w:before="0" w:after="120"/>
        <w:ind w:firstLine="709"/>
        <w:jc w:val="both"/>
      </w:pPr>
      <w:r>
        <w:rPr>
          <w:rFonts w:ascii="Times New Roman" w:hAnsi="Times New Roman"/>
          <w:b w:val="0"/>
          <w:i w:val="0"/>
          <w:sz w:val="24"/>
        </w:rPr>
        <w:t>A motivação do MercadoCerto surge da percepção de um problema cotidiano: o consumidor frequentemente não sabe em qual mercado da região um item está com o preço mais vantajoso, e acaba percorrendo lojas distintas sem uma referência clara. A plataforma busca atender essa lacuna ao reunir, em um único ambiente, comparação de preços, avaliações de estabelecimentos e listas de compras inteligentes, organizadas a partir da localização do usuário.</w:t>
      </w:r>
    </w:p>
    <w:p>
      <w:pPr>
        <w:spacing w:line="360" w:lineRule="auto" w:before="0" w:after="120"/>
        <w:ind w:firstLine="709"/>
        <w:jc w:val="both"/>
      </w:pPr>
      <w:r>
        <w:rPr>
          <w:rFonts w:ascii="Times New Roman" w:hAnsi="Times New Roman"/>
          <w:b w:val="0"/>
          <w:i w:val="0"/>
          <w:sz w:val="24"/>
        </w:rPr>
        <w:t>Na primeira entrega, o foco esteve no desenvolvimento funcional. A interface, ainda que coerente em termos de estrutura, apresentava limitações que ficaram evidentes na avaliação recebida. Problemas de tipografia, contraste, navegação, validação de dados e diferenciação entre perfis de usuário comprometiam a clareza da experiência. A partir desse diagnóstico, esta segunda entrega assume um caráter de refinamento: cada apontamento foi analisado e convertido em uma ação concreta de melhoria, com base em fundamentos teóricos da Interação Humano-Computador (IHC).</w:t>
      </w:r>
    </w:p>
    <w:p>
      <w:pPr>
        <w:spacing w:line="360" w:lineRule="auto" w:before="0" w:after="120"/>
        <w:ind w:firstLine="709"/>
        <w:jc w:val="both"/>
      </w:pPr>
      <w:r>
        <w:rPr>
          <w:rFonts w:ascii="Times New Roman" w:hAnsi="Times New Roman"/>
          <w:b w:val="0"/>
          <w:i w:val="0"/>
          <w:sz w:val="24"/>
        </w:rPr>
        <w:t>O documento está organizado em sete seções principais. Após esta introdução, a Seção 2 apresenta a fundamentação teórica, retomando os conceitos centrais discutidos em aula. A Seção 3 descreve a metodologia adotada para coletar e tratar o feedback. A Seção 4 (Parte 1 do trabalho) documenta as melhorias implementadas, organizadas por categoria. A Seção 5 (Parte 2 do trabalho) faz a ligação explícita entre cada melhoria e os conceitos-chave de IHC. A Seção 6 traz um quadro-resumo dessa correspondência, e a Seção 7 apresenta uma análise crítica do processo e dos resultados alcançados.</w:t>
      </w:r>
    </w:p>
    <w:p>
      <w:r>
        <w:br w:type="page"/>
      </w:r>
    </w:p>
    <w:p>
      <w:pPr>
        <w:pStyle w:val="Heading1"/>
        <w:spacing w:before="360" w:after="160"/>
        <w:jc w:val="left"/>
      </w:pPr>
      <w:r>
        <w:rPr>
          <w:rFonts w:ascii="Times New Roman" w:hAnsi="Times New Roman"/>
          <w:color w:val="000000"/>
          <w:sz w:val="28"/>
        </w:rPr>
        <w:t>2 FUNDAMENTAÇÃO TEÓRICA</w:t>
      </w:r>
    </w:p>
    <w:p>
      <w:pPr>
        <w:spacing w:line="360" w:lineRule="auto" w:before="0" w:after="120"/>
        <w:ind w:firstLine="709"/>
        <w:jc w:val="both"/>
      </w:pPr>
      <w:r>
        <w:rPr>
          <w:rFonts w:ascii="Times New Roman" w:hAnsi="Times New Roman"/>
          <w:b w:val="0"/>
          <w:i w:val="0"/>
          <w:sz w:val="24"/>
        </w:rPr>
        <w:t>Esta seção retoma os conceitos centrais da disciplina que sustentam as decisões de projeto descritas mais adiante. Em vez de tratar IHC como um rótulo isolado, buscou-se compreender como cada conceito se articula com a prática do desenvolvimento de interfaces web.</w:t>
      </w:r>
    </w:p>
    <w:p>
      <w:pPr>
        <w:pStyle w:val="Heading2"/>
        <w:spacing w:before="240" w:after="160"/>
        <w:jc w:val="left"/>
      </w:pPr>
      <w:r>
        <w:rPr>
          <w:rFonts w:ascii="Times New Roman" w:hAnsi="Times New Roman"/>
          <w:color w:val="000000"/>
          <w:sz w:val="24"/>
        </w:rPr>
        <w:t>2.1 Interação Humano-Computador</w:t>
      </w:r>
    </w:p>
    <w:p>
      <w:pPr>
        <w:spacing w:line="360" w:lineRule="auto" w:before="0" w:after="120"/>
        <w:ind w:firstLine="709"/>
        <w:jc w:val="both"/>
      </w:pPr>
      <w:r>
        <w:rPr>
          <w:rFonts w:ascii="Times New Roman" w:hAnsi="Times New Roman"/>
          <w:b w:val="0"/>
          <w:i w:val="0"/>
          <w:sz w:val="24"/>
        </w:rPr>
        <w:t>A Interação Humano-Computador, segundo Winograd (2003), é o estudo do processo de comunicação entre humanos e sistemas computacionais. Trata-se de uma área interdisciplinar, que reúne Computação, Psicologia Cognitiva e Ergonomia, com o objetivo de tornar os sistemas mais úteis, eficientes e agradáveis aos usuários.</w:t>
      </w:r>
    </w:p>
    <w:p>
      <w:pPr>
        <w:spacing w:line="360" w:lineRule="auto" w:before="0" w:after="120"/>
        <w:ind w:firstLine="709"/>
        <w:jc w:val="both"/>
      </w:pPr>
      <w:r>
        <w:rPr>
          <w:rFonts w:ascii="Times New Roman" w:hAnsi="Times New Roman"/>
          <w:b w:val="0"/>
          <w:i w:val="0"/>
          <w:sz w:val="24"/>
        </w:rPr>
        <w:t>Mayhew (1992) descreve a interação como um processo dinâmico organizado em três fases: ler-examinar, pensar e responder. O usuário observa o estado do sistema, interpreta a informação recebida e decide qual ação executar; em seguida, o sistema processa essa entrada e devolve uma resposta, reiniciando o ciclo. A interface, nesse modelo, atua como o ponto de contato em que o controle alterna entre humano e máquina.</w:t>
      </w:r>
    </w:p>
    <w:p>
      <w:pPr>
        <w:spacing w:line="360" w:lineRule="auto" w:before="0" w:after="120"/>
        <w:ind w:firstLine="709"/>
        <w:jc w:val="both"/>
      </w:pPr>
      <w:r>
        <w:rPr>
          <w:rFonts w:ascii="Times New Roman" w:hAnsi="Times New Roman"/>
          <w:b w:val="0"/>
          <w:i w:val="0"/>
          <w:sz w:val="24"/>
        </w:rPr>
        <w:t>Norman (2013), por sua vez, descreve a ação do usuário como um ciclo composto por etapas de percepção, decisão, execução e avaliação. Para que a experiência seja satisfatória, esse ciclo precisa fluir sem rupturas, com feedback claro a cada etapa. Esse referencial guiou diretamente as escolhas relacionadas ao fluxo de tarefas do MercadoCerto.</w:t>
      </w:r>
    </w:p>
    <w:p>
      <w:pPr>
        <w:pStyle w:val="Heading2"/>
        <w:spacing w:before="240" w:after="160"/>
        <w:jc w:val="left"/>
      </w:pPr>
      <w:r>
        <w:rPr>
          <w:rFonts w:ascii="Times New Roman" w:hAnsi="Times New Roman"/>
          <w:color w:val="000000"/>
          <w:sz w:val="24"/>
        </w:rPr>
        <w:t>2.2 Qualidade de Uso</w:t>
      </w:r>
    </w:p>
    <w:p>
      <w:pPr>
        <w:spacing w:line="360" w:lineRule="auto" w:before="0" w:after="120"/>
        <w:ind w:firstLine="709"/>
        <w:jc w:val="both"/>
      </w:pPr>
      <w:r>
        <w:rPr>
          <w:rFonts w:ascii="Times New Roman" w:hAnsi="Times New Roman"/>
          <w:b w:val="0"/>
          <w:i w:val="0"/>
          <w:sz w:val="24"/>
        </w:rPr>
        <w:t>A norma ISO 9241-11 define qualidade de uso como a medida em que um sistema permite que usuários atinjam objetivos específicos com eficácia, eficiência e satisfação em um contexto de uso determinado. Nielsen (1993) amplia essa visão ao propor cinco atributos da usabilidade: facilidade de aprendizado, eficiência, memorabilidade, baixa taxa de erros e satisfação subjetiva.</w:t>
      </w:r>
    </w:p>
    <w:p>
      <w:pPr>
        <w:spacing w:line="360" w:lineRule="auto" w:before="0" w:after="120"/>
        <w:ind w:firstLine="709"/>
        <w:jc w:val="both"/>
      </w:pPr>
      <w:r>
        <w:rPr>
          <w:rFonts w:ascii="Times New Roman" w:hAnsi="Times New Roman"/>
          <w:b w:val="0"/>
          <w:i w:val="0"/>
          <w:sz w:val="24"/>
        </w:rPr>
        <w:t>O material da disciplina acrescenta a esse conjunto a dimensão de acessibilidade, compreendida como a capacidade do sistema de ser utilizado por pessoas com diferentes habilidades físicas, sensoriais ou cognitivas. Esses quatro critérios — eficácia, eficiência, satisfação e acessibilidade — foram adotados como referência central para a avaliação das melhorias implementadas.</w:t>
      </w:r>
    </w:p>
    <w:p>
      <w:pPr>
        <w:spacing w:line="360" w:lineRule="auto" w:before="0" w:after="120"/>
        <w:ind w:firstLine="709"/>
        <w:jc w:val="both"/>
      </w:pPr>
      <w:r>
        <w:rPr>
          <w:rFonts w:ascii="Times New Roman" w:hAnsi="Times New Roman"/>
          <w:b w:val="0"/>
          <w:i w:val="0"/>
          <w:sz w:val="24"/>
        </w:rPr>
        <w:t>Importa observar a distinção trazida em aula entre um sistema tecnicamente robusto e um sistema com alta qualidade de uso. O primeiro pode ser estável, performático e bem documentado, mas ainda assim oferecer uma experiência frustrante ao usuário final. A qualidade de uso desloca o foco do funcionamento interno para a experiência vivida.</w:t>
      </w:r>
    </w:p>
    <w:p>
      <w:pPr>
        <w:pStyle w:val="Heading2"/>
        <w:spacing w:before="240" w:after="160"/>
        <w:jc w:val="left"/>
      </w:pPr>
      <w:r>
        <w:rPr>
          <w:rFonts w:ascii="Times New Roman" w:hAnsi="Times New Roman"/>
          <w:color w:val="000000"/>
          <w:sz w:val="24"/>
        </w:rPr>
        <w:t>2.3 Interface</w:t>
      </w:r>
    </w:p>
    <w:p>
      <w:pPr>
        <w:spacing w:line="360" w:lineRule="auto" w:before="0" w:after="120"/>
        <w:ind w:firstLine="709"/>
        <w:jc w:val="both"/>
      </w:pPr>
      <w:r>
        <w:rPr>
          <w:rFonts w:ascii="Times New Roman" w:hAnsi="Times New Roman"/>
          <w:b w:val="0"/>
          <w:i w:val="0"/>
          <w:sz w:val="24"/>
        </w:rPr>
        <w:t>A interface é o canal de mediação entre usuário e sistema. Ela engloba os elementos visuais, sonoros e táteis por meio dos quais a interação ocorre. Conforme discutido em sala, há vários tipos de interface — gráficas, textuais, conversacionais e físicas — e a escolha de cada uma está condicionada ao contexto de uso, ao dispositivo e ao perfil do usuário.</w:t>
      </w:r>
    </w:p>
    <w:p>
      <w:pPr>
        <w:spacing w:line="360" w:lineRule="auto" w:before="0" w:after="120"/>
        <w:ind w:firstLine="709"/>
        <w:jc w:val="both"/>
      </w:pPr>
      <w:r>
        <w:rPr>
          <w:rFonts w:ascii="Times New Roman" w:hAnsi="Times New Roman"/>
          <w:b w:val="0"/>
          <w:i w:val="0"/>
          <w:sz w:val="24"/>
        </w:rPr>
        <w:t>No caso do MercadoCerto, a interface adotada é gráfica (GUI), com versões para desktop e dispositivos móveis. Três atributos foram priorizados no refinamento: consistência visual e semântica, organização lógica com hierarquia clara e uso de padrões de design já reconhecidos pelos usuários. Esses atributos dialogam diretamente com as Heurísticas de Nielsen (1994), especialmente as referentes à visibilidade do estado do sistema, consistência, prevenção de erros e reconhecimento em vez de memorização.</w:t>
      </w:r>
    </w:p>
    <w:p>
      <w:pPr>
        <w:pStyle w:val="Heading2"/>
        <w:spacing w:before="240" w:after="160"/>
        <w:jc w:val="left"/>
      </w:pPr>
      <w:r>
        <w:rPr>
          <w:rFonts w:ascii="Times New Roman" w:hAnsi="Times New Roman"/>
          <w:color w:val="000000"/>
          <w:sz w:val="24"/>
        </w:rPr>
        <w:t>2.4 Affordance</w:t>
      </w:r>
    </w:p>
    <w:p>
      <w:pPr>
        <w:spacing w:line="360" w:lineRule="auto" w:before="0" w:after="120"/>
        <w:ind w:firstLine="709"/>
        <w:jc w:val="both"/>
      </w:pPr>
      <w:r>
        <w:rPr>
          <w:rFonts w:ascii="Times New Roman" w:hAnsi="Times New Roman"/>
          <w:b w:val="0"/>
          <w:i w:val="0"/>
          <w:sz w:val="24"/>
        </w:rPr>
        <w:t>O conceito de affordance foi originalmente proposto por Gibson (1979), no campo da psicologia ecológica, para descrever as possibilidades de ação que o ambiente oferece a um agente. Norman (1988, 2013) trouxe o termo para o design, distinguindo as affordances reais (o que o objeto de fato permite) das affordances percebidas (o que o usuário imagina que pode fazer com ele).</w:t>
      </w:r>
    </w:p>
    <w:p>
      <w:pPr>
        <w:spacing w:line="360" w:lineRule="auto" w:before="0" w:after="120"/>
        <w:ind w:firstLine="709"/>
        <w:jc w:val="both"/>
      </w:pPr>
      <w:r>
        <w:rPr>
          <w:rFonts w:ascii="Times New Roman" w:hAnsi="Times New Roman"/>
          <w:b w:val="0"/>
          <w:i w:val="0"/>
          <w:sz w:val="24"/>
        </w:rPr>
        <w:t>No contexto de interfaces digitais, costuma-se classificar as affordances em três tipos: perceptível (a aparência comunica claramente a função, como um botão em relevo); falsa affordance (o elemento sugere uma ação que, na prática, não existe, como um texto sublinhado que não leva a lugar nenhum); e oculta (a função existe, mas nenhuma pista visual a indica). O trabalho de refinamento do MercadoCerto procurou reforçar as affordances perceptíveis e eliminar as falsas affordances identificadas no review.</w:t>
      </w:r>
    </w:p>
    <w:p>
      <w:r>
        <w:br w:type="page"/>
      </w:r>
    </w:p>
    <w:p>
      <w:pPr>
        <w:pStyle w:val="Heading1"/>
        <w:spacing w:before="360" w:after="160"/>
        <w:jc w:val="left"/>
      </w:pPr>
      <w:r>
        <w:rPr>
          <w:rFonts w:ascii="Times New Roman" w:hAnsi="Times New Roman"/>
          <w:color w:val="000000"/>
          <w:sz w:val="28"/>
        </w:rPr>
        <w:t>3 METODOLOGIA</w:t>
      </w:r>
    </w:p>
    <w:p>
      <w:pPr>
        <w:spacing w:line="360" w:lineRule="auto" w:before="0" w:after="120"/>
        <w:ind w:firstLine="709"/>
        <w:jc w:val="both"/>
      </w:pPr>
      <w:r>
        <w:rPr>
          <w:rFonts w:ascii="Times New Roman" w:hAnsi="Times New Roman"/>
          <w:b w:val="0"/>
          <w:i w:val="0"/>
          <w:sz w:val="24"/>
        </w:rPr>
        <w:t>O processo de refinamento foi conduzido em quatro etapas. A primeira consistiu na coleta de feedback sobre a versão entregue no Trabalho 1, a partir de duas fontes: (a) os comentários formais do professor da disciplina e (b) uma sessão de revisão entre os integrantes do grupo, simulando uma avaliação de pares. Em ambos os casos, os apontamentos foram registrados de forma estruturada, separando aspectos visuais, de navegação, de lógica de negócio e de acessibilidade.</w:t>
      </w:r>
    </w:p>
    <w:p>
      <w:pPr>
        <w:spacing w:line="360" w:lineRule="auto" w:before="0" w:after="120"/>
        <w:ind w:firstLine="709"/>
        <w:jc w:val="both"/>
      </w:pPr>
      <w:r>
        <w:rPr>
          <w:rFonts w:ascii="Times New Roman" w:hAnsi="Times New Roman"/>
          <w:b w:val="0"/>
          <w:i w:val="0"/>
          <w:sz w:val="24"/>
        </w:rPr>
        <w:t>Na segunda etapa, cada apontamento foi classificado segundo sua natureza e prioridade. Foram considerados críticos os problemas que comprometiam a usabilidade básica (como contraste insuficiente e ausência de validação de dados) e secundários os ajustes voltados principalmente à estética e ao polimento.</w:t>
      </w:r>
    </w:p>
    <w:p>
      <w:pPr>
        <w:spacing w:line="360" w:lineRule="auto" w:before="0" w:after="120"/>
        <w:ind w:firstLine="709"/>
        <w:jc w:val="both"/>
      </w:pPr>
      <w:r>
        <w:rPr>
          <w:rFonts w:ascii="Times New Roman" w:hAnsi="Times New Roman"/>
          <w:b w:val="0"/>
          <w:i w:val="0"/>
          <w:sz w:val="24"/>
        </w:rPr>
        <w:t>A terceira etapa foi a definição das ações corretivas, sempre com fundamento em pelo menos um dos quatro conceitos-chave da disciplina. Para cada problema, foi feito o exercício de identificar a qual princípio de IHC o ajuste se vinculava, evitando decisões meramente estéticas.</w:t>
      </w:r>
    </w:p>
    <w:p>
      <w:pPr>
        <w:spacing w:line="360" w:lineRule="auto" w:before="0" w:after="120"/>
        <w:ind w:firstLine="709"/>
        <w:jc w:val="both"/>
      </w:pPr>
      <w:r>
        <w:rPr>
          <w:rFonts w:ascii="Times New Roman" w:hAnsi="Times New Roman"/>
          <w:b w:val="0"/>
          <w:i w:val="0"/>
          <w:sz w:val="24"/>
        </w:rPr>
        <w:t>A quarta etapa, finalmente, envolveu a implementação das mudanças no código da aplicação e a documentação reflexiva apresentada neste relatório. As decisões foram registradas também em comentários dos arquivos CSS e nos templates HTML, de modo a preservar a rastreabilidade entre a justificativa conceitual e o código entregue.</w:t>
      </w:r>
    </w:p>
    <w:p>
      <w:r>
        <w:br w:type="page"/>
      </w:r>
    </w:p>
    <w:p>
      <w:pPr>
        <w:pStyle w:val="Heading1"/>
        <w:spacing w:before="360" w:after="160"/>
        <w:jc w:val="left"/>
      </w:pPr>
      <w:r>
        <w:rPr>
          <w:rFonts w:ascii="Times New Roman" w:hAnsi="Times New Roman"/>
          <w:color w:val="000000"/>
          <w:sz w:val="28"/>
        </w:rPr>
        <w:t>4 PARTE 1 – DOCUMENTAÇÃO DAS MELHORIAS</w:t>
      </w:r>
    </w:p>
    <w:p>
      <w:pPr>
        <w:spacing w:line="360" w:lineRule="auto" w:before="0" w:after="120"/>
        <w:ind w:firstLine="709"/>
        <w:jc w:val="both"/>
      </w:pPr>
      <w:r>
        <w:rPr>
          <w:rFonts w:ascii="Times New Roman" w:hAnsi="Times New Roman"/>
          <w:b w:val="0"/>
          <w:i w:val="0"/>
          <w:sz w:val="24"/>
        </w:rPr>
        <w:t>Esta seção apresenta as melhorias implementadas a partir do feedback recebido, organizadas em doze categorias. Para cada uma, descreve-se o problema original, as ações adotadas e o efeito esperado na experiência do usuário.</w:t>
      </w:r>
    </w:p>
    <w:p>
      <w:pPr>
        <w:pStyle w:val="Heading2"/>
        <w:spacing w:before="240" w:after="160"/>
        <w:jc w:val="left"/>
      </w:pPr>
      <w:r>
        <w:rPr>
          <w:rFonts w:ascii="Times New Roman" w:hAnsi="Times New Roman"/>
          <w:color w:val="000000"/>
          <w:sz w:val="24"/>
        </w:rPr>
        <w:t>4.1 Tipografia e legibilidade</w:t>
      </w:r>
    </w:p>
    <w:p>
      <w:pPr>
        <w:spacing w:line="360" w:lineRule="auto" w:before="0" w:after="120"/>
        <w:ind w:firstLine="709"/>
        <w:jc w:val="both"/>
      </w:pPr>
      <w:r>
        <w:rPr>
          <w:rFonts w:ascii="Times New Roman" w:hAnsi="Times New Roman"/>
          <w:b w:val="0"/>
          <w:i w:val="0"/>
          <w:sz w:val="24"/>
        </w:rPr>
        <w:t>A tipografia foi um dos pontos mais recorrentes nos comentários da avaliação. A queixa central indicava que a fonte utilizada nos títulos e na interface possuía caráter excessivamente decorativo, o que dificultava a leitura, sobretudo para o público-alvo da plataforma: consumidores em geral, com destaque para pessoas mais velhas e usuários com baixa visão.</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Substituição da fonte decorativa pela família Poppins (Google Fonts), uma sans-serif geométrica de boa legibilidade em tela; a fonte anterior permaneceu apenas no logotipo, preservando a identidade visual da marca;</w:t>
      </w:r>
    </w:p>
    <w:p>
      <w:pPr>
        <w:pStyle w:val="ListBullet"/>
        <w:spacing w:line="360" w:lineRule="auto" w:after="80"/>
        <w:jc w:val="both"/>
      </w:pPr>
      <w:r>
        <w:rPr>
          <w:rFonts w:ascii="Times New Roman" w:hAnsi="Times New Roman"/>
          <w:sz w:val="24"/>
        </w:rPr>
        <w:t>Revisão da escala tipográfica: títulos principais em 20px, subtítulos em 16px e corpo de texto em 15px, eliminando o excesso de tamanho apontado;</w:t>
      </w:r>
    </w:p>
    <w:p>
      <w:pPr>
        <w:pStyle w:val="ListBullet"/>
        <w:spacing w:line="360" w:lineRule="auto" w:after="80"/>
        <w:jc w:val="both"/>
      </w:pPr>
      <w:r>
        <w:rPr>
          <w:rFonts w:ascii="Times New Roman" w:hAnsi="Times New Roman"/>
          <w:sz w:val="24"/>
        </w:rPr>
        <w:t>Padronização dos pesos tipográficos — Bold (700) para títulos, SemiBold (600) para subtítulos, Regular (400) para corpo e Medium (500) para labels e botões —, criando uma hierarquia visual previsível.</w:t>
      </w:r>
    </w:p>
    <w:p>
      <w:pPr>
        <w:pStyle w:val="Heading2"/>
        <w:spacing w:before="240" w:after="160"/>
        <w:jc w:val="left"/>
      </w:pPr>
      <w:r>
        <w:rPr>
          <w:rFonts w:ascii="Times New Roman" w:hAnsi="Times New Roman"/>
          <w:color w:val="000000"/>
          <w:sz w:val="24"/>
        </w:rPr>
        <w:t>4.2 Contraste e cores</w:t>
      </w:r>
    </w:p>
    <w:p>
      <w:pPr>
        <w:spacing w:line="360" w:lineRule="auto" w:before="0" w:after="120"/>
        <w:ind w:firstLine="709"/>
        <w:jc w:val="both"/>
      </w:pPr>
      <w:r>
        <w:rPr>
          <w:rFonts w:ascii="Times New Roman" w:hAnsi="Times New Roman"/>
          <w:b w:val="0"/>
          <w:i w:val="0"/>
          <w:sz w:val="24"/>
        </w:rPr>
        <w:t>O segundo ponto crítico identificado foi o contraste. Textos em cinza claro sobre fundo claro e combinações de roxo sobre roxo comprometiam tanto a leitura quanto a acessibilidade. Embora a estética original buscasse uma identidade marcante, o resultado tornava trechos inteiros da interface praticamente ilegíveis.</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Padronização do fundo em tons claros — branco (#FFFFFF) para cards e lavanda suave (#F5F3FF) para o fundo geral —, mais coerente com a proposta de um sistema de compras;</w:t>
      </w:r>
    </w:p>
    <w:p>
      <w:pPr>
        <w:pStyle w:val="ListBullet"/>
        <w:spacing w:line="360" w:lineRule="auto" w:after="80"/>
        <w:jc w:val="both"/>
      </w:pPr>
      <w:r>
        <w:rPr>
          <w:rFonts w:ascii="Times New Roman" w:hAnsi="Times New Roman"/>
          <w:sz w:val="24"/>
        </w:rPr>
        <w:t>Adoção do tom #1A1A2E para o texto principal sobre fundos claros, atingindo razão de contraste superior a 7:1, em conformidade com o nível AAA da WCAG 2.1;</w:t>
      </w:r>
    </w:p>
    <w:p>
      <w:pPr>
        <w:pStyle w:val="ListBullet"/>
        <w:spacing w:line="360" w:lineRule="auto" w:after="80"/>
        <w:jc w:val="both"/>
      </w:pPr>
      <w:r>
        <w:rPr>
          <w:rFonts w:ascii="Times New Roman" w:hAnsi="Times New Roman"/>
          <w:sz w:val="24"/>
        </w:rPr>
        <w:t>Reformulação das combinações roxo-sobre-roxo: nos pontos em que o texto era roxo claro sobre fundo roxo, passou-se a usar texto escuro sobre fundo claro ou texto branco sobre fundo roxo sólido (#7C3AED), sempre respeitando o contraste mínimo;</w:t>
      </w:r>
    </w:p>
    <w:p>
      <w:pPr>
        <w:pStyle w:val="ListBullet"/>
        <w:spacing w:line="360" w:lineRule="auto" w:after="80"/>
        <w:jc w:val="both"/>
      </w:pPr>
      <w:r>
        <w:rPr>
          <w:rFonts w:ascii="Times New Roman" w:hAnsi="Times New Roman"/>
          <w:sz w:val="24"/>
        </w:rPr>
        <w:t>Ampliação do espaço entre o texto “Cadastre-se gratuitamente” e os ícones de criação de conta, com padding de 16px e margin-top de 12px, eliminando o efeito de elementos sobrepostos.</w:t>
      </w:r>
    </w:p>
    <w:p>
      <w:pPr>
        <w:pStyle w:val="Heading2"/>
        <w:spacing w:before="240" w:after="160"/>
        <w:jc w:val="left"/>
      </w:pPr>
      <w:r>
        <w:rPr>
          <w:rFonts w:ascii="Times New Roman" w:hAnsi="Times New Roman"/>
          <w:color w:val="000000"/>
          <w:sz w:val="24"/>
        </w:rPr>
        <w:t>4.3 Navegação e botão Voltar</w:t>
      </w:r>
    </w:p>
    <w:p>
      <w:pPr>
        <w:spacing w:line="360" w:lineRule="auto" w:before="0" w:after="120"/>
        <w:ind w:firstLine="709"/>
        <w:jc w:val="both"/>
      </w:pPr>
      <w:r>
        <w:rPr>
          <w:rFonts w:ascii="Times New Roman" w:hAnsi="Times New Roman"/>
          <w:b w:val="0"/>
          <w:i w:val="0"/>
          <w:sz w:val="24"/>
        </w:rPr>
        <w:t>Identificou-se a ausência de botão de voltar em diversas telas internas, o que obrigava o usuário a recorrer ao botão do navegador. Em telas onde o botão existia, o redirecionamento estava incorreto, conduzindo a páginas que não correspondiam ao passo anterior do fluxo.</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Padronização do botão “Voltar” em todas as telas internas, posicionado no canto superior esquerdo, logo abaixo do header, com ícone de seta e rótulo textual, no estilo de breadcrumb;</w:t>
      </w:r>
    </w:p>
    <w:p>
      <w:pPr>
        <w:pStyle w:val="ListBullet"/>
        <w:spacing w:line="360" w:lineRule="auto" w:after="80"/>
        <w:jc w:val="both"/>
      </w:pPr>
      <w:r>
        <w:rPr>
          <w:rFonts w:ascii="Times New Roman" w:hAnsi="Times New Roman"/>
          <w:sz w:val="24"/>
        </w:rPr>
        <w:t>Correção dos redirecionamentos existentes, de modo que cada botão conduza à tela hierarquicamente anterior no fluxo;</w:t>
      </w:r>
    </w:p>
    <w:p>
      <w:pPr>
        <w:pStyle w:val="ListBullet"/>
        <w:spacing w:line="360" w:lineRule="auto" w:after="80"/>
        <w:jc w:val="both"/>
      </w:pPr>
      <w:r>
        <w:rPr>
          <w:rFonts w:ascii="Times New Roman" w:hAnsi="Times New Roman"/>
          <w:sz w:val="24"/>
        </w:rPr>
        <w:t>Implementação de uma lógica de navegação com rotas explícitas como caminho principal e history.back() como fallback, tornando o comportamento previsível mesmo em navegação com múltiplas abas.</w:t>
      </w:r>
    </w:p>
    <w:p>
      <w:pPr>
        <w:pStyle w:val="Heading2"/>
        <w:spacing w:before="240" w:after="160"/>
        <w:jc w:val="left"/>
      </w:pPr>
      <w:r>
        <w:rPr>
          <w:rFonts w:ascii="Times New Roman" w:hAnsi="Times New Roman"/>
          <w:color w:val="000000"/>
          <w:sz w:val="24"/>
        </w:rPr>
        <w:t>4.4 Tela do mapa interativo</w:t>
      </w:r>
    </w:p>
    <w:p>
      <w:pPr>
        <w:spacing w:line="360" w:lineRule="auto" w:before="0" w:after="120"/>
        <w:ind w:firstLine="709"/>
        <w:jc w:val="both"/>
      </w:pPr>
      <w:r>
        <w:rPr>
          <w:rFonts w:ascii="Times New Roman" w:hAnsi="Times New Roman"/>
          <w:b w:val="0"/>
          <w:i w:val="0"/>
          <w:sz w:val="24"/>
        </w:rPr>
        <w:t>O mapa abria com a visualização do Brasil inteiro, sem qualquer filtro inicial, o que pouco auxiliava o usuário no primeiro contato. Além disso, ao clicar em um mercado, não havia caminho direto para acessar a página detalhada do estabelecimento.</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Centralização automática do mapa na posição do usuário, com base na API de Geolocation do navegador, mediante consentimento;</w:t>
      </w:r>
    </w:p>
    <w:p>
      <w:pPr>
        <w:pStyle w:val="ListBullet"/>
        <w:spacing w:line="360" w:lineRule="auto" w:after="80"/>
        <w:jc w:val="both"/>
      </w:pPr>
      <w:r>
        <w:rPr>
          <w:rFonts w:ascii="Times New Roman" w:hAnsi="Times New Roman"/>
          <w:sz w:val="24"/>
        </w:rPr>
        <w:t>Definição de um raio padrão de 50 km, evitando a exibição inicial em escala nacional;</w:t>
      </w:r>
    </w:p>
    <w:p>
      <w:pPr>
        <w:pStyle w:val="ListBullet"/>
        <w:spacing w:line="360" w:lineRule="auto" w:after="80"/>
        <w:jc w:val="both"/>
      </w:pPr>
      <w:r>
        <w:rPr>
          <w:rFonts w:ascii="Times New Roman" w:hAnsi="Times New Roman"/>
          <w:sz w:val="24"/>
        </w:rPr>
        <w:t>Inclusão de um campo de busca manual por região (cidade, bairro ou CEP), atendendo aos usuários que desejem consultar mercados em outras localidades;</w:t>
      </w:r>
    </w:p>
    <w:p>
      <w:pPr>
        <w:pStyle w:val="ListBullet"/>
        <w:spacing w:line="360" w:lineRule="auto" w:after="80"/>
        <w:jc w:val="both"/>
      </w:pPr>
      <w:r>
        <w:rPr>
          <w:rFonts w:ascii="Times New Roman" w:hAnsi="Times New Roman"/>
          <w:sz w:val="24"/>
        </w:rPr>
        <w:t>Adição, no popup do marcador, de um botão “Ver detalhes”, que conduz diretamente à página do mercado.</w:t>
      </w:r>
    </w:p>
    <w:p>
      <w:pPr>
        <w:pStyle w:val="Heading2"/>
        <w:spacing w:before="240" w:after="160"/>
        <w:jc w:val="left"/>
      </w:pPr>
      <w:r>
        <w:rPr>
          <w:rFonts w:ascii="Times New Roman" w:hAnsi="Times New Roman"/>
          <w:color w:val="000000"/>
          <w:sz w:val="24"/>
        </w:rPr>
        <w:t>4.5 Separação de perfis: Consumidor e Comerciante</w:t>
      </w:r>
    </w:p>
    <w:p>
      <w:pPr>
        <w:spacing w:line="360" w:lineRule="auto" w:before="0" w:after="120"/>
        <w:ind w:firstLine="709"/>
        <w:jc w:val="both"/>
      </w:pPr>
      <w:r>
        <w:rPr>
          <w:rFonts w:ascii="Times New Roman" w:hAnsi="Times New Roman"/>
          <w:b w:val="0"/>
          <w:i w:val="0"/>
          <w:sz w:val="24"/>
        </w:rPr>
        <w:t>Um dos problemas mais críticos identificados foi a ausência de diferenciação entre perfis de usuário. Na versão anterior, qualquer pessoa cadastrada podia inserir produtos em qualquer mercado, o que abria espaço para informações fraudulentas — como, por exemplo, o cadastro deliberado de preços absurdos em concorrentes. Sem essa separação, a confiabilidade dos dados ficava comprometida.</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Criação de dois tipos de cadastro distintos: Consumidor (com CPF) e Comerciante (com CNPJ), com validação do documento no momento do registro;</w:t>
      </w:r>
    </w:p>
    <w:p>
      <w:pPr>
        <w:pStyle w:val="ListBullet"/>
        <w:spacing w:line="360" w:lineRule="auto" w:after="80"/>
        <w:jc w:val="both"/>
      </w:pPr>
      <w:r>
        <w:rPr>
          <w:rFonts w:ascii="Times New Roman" w:hAnsi="Times New Roman"/>
          <w:sz w:val="24"/>
        </w:rPr>
        <w:t>Restrição das funções de cadastro e edição de produtos exclusivamente ao comerciante vinculado ao mercado, impedindo que consumidores comuns publiquem preços;</w:t>
      </w:r>
    </w:p>
    <w:p>
      <w:pPr>
        <w:pStyle w:val="ListBullet"/>
        <w:spacing w:line="360" w:lineRule="auto" w:after="80"/>
        <w:jc w:val="both"/>
      </w:pPr>
      <w:r>
        <w:rPr>
          <w:rFonts w:ascii="Times New Roman" w:hAnsi="Times New Roman"/>
          <w:sz w:val="24"/>
        </w:rPr>
        <w:t>Disponibilização de um Painel do Comércio, com menu próprio: Meus Mercados, Meus Produtos, Publicar Preço, Avaliações Recebidas e Dashboard de Reputação;</w:t>
      </w:r>
    </w:p>
    <w:p>
      <w:pPr>
        <w:pStyle w:val="ListBullet"/>
        <w:spacing w:line="360" w:lineRule="auto" w:after="80"/>
        <w:jc w:val="both"/>
      </w:pPr>
      <w:r>
        <w:rPr>
          <w:rFonts w:ascii="Times New Roman" w:hAnsi="Times New Roman"/>
          <w:sz w:val="24"/>
        </w:rPr>
        <w:t>Suporte a redes com várias unidades: no caso de franquias, o comerciante seleciona em qual filial o produto será cadastrado, evitando confusão entre lojas da mesma rede;</w:t>
      </w:r>
    </w:p>
    <w:p>
      <w:pPr>
        <w:pStyle w:val="ListBullet"/>
        <w:spacing w:line="360" w:lineRule="auto" w:after="80"/>
        <w:jc w:val="both"/>
      </w:pPr>
      <w:r>
        <w:rPr>
          <w:rFonts w:ascii="Times New Roman" w:hAnsi="Times New Roman"/>
          <w:sz w:val="24"/>
        </w:rPr>
        <w:t>Remoção do botão “Cadastrar Produto” da listagem pública de produtos, mantendo essa ação apenas no painel restrito ao comerciante.</w:t>
      </w:r>
    </w:p>
    <w:p>
      <w:pPr>
        <w:pStyle w:val="Heading2"/>
        <w:spacing w:before="240" w:after="160"/>
        <w:jc w:val="left"/>
      </w:pPr>
      <w:r>
        <w:rPr>
          <w:rFonts w:ascii="Times New Roman" w:hAnsi="Times New Roman"/>
          <w:color w:val="000000"/>
          <w:sz w:val="24"/>
        </w:rPr>
        <w:t>4.6 Validação de preços (anti-fraude)</w:t>
      </w:r>
    </w:p>
    <w:p>
      <w:pPr>
        <w:spacing w:line="360" w:lineRule="auto" w:before="0" w:after="120"/>
        <w:ind w:firstLine="709"/>
        <w:jc w:val="both"/>
      </w:pPr>
      <w:r>
        <w:rPr>
          <w:rFonts w:ascii="Times New Roman" w:hAnsi="Times New Roman"/>
          <w:b w:val="0"/>
          <w:i w:val="0"/>
          <w:sz w:val="24"/>
        </w:rPr>
        <w:t>Mesmo após a separação de perfis, restava o risco de comerciantes registrarem preços incorretos por engano ou de forma deliberada. Para mitigar essa possibilidade, foram implementados mecanismos de validação no momento da publicação do preço.</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Obrigatoriedade do upload da foto da etiqueta de preço no cadastro, funcionando como comprovação visual do valor informado;</w:t>
      </w:r>
    </w:p>
    <w:p>
      <w:pPr>
        <w:pStyle w:val="ListBullet"/>
        <w:spacing w:line="360" w:lineRule="auto" w:after="80"/>
        <w:jc w:val="both"/>
      </w:pPr>
      <w:r>
        <w:rPr>
          <w:rFonts w:ascii="Times New Roman" w:hAnsi="Times New Roman"/>
          <w:sz w:val="24"/>
        </w:rPr>
        <w:t>Integração de um leitor de código de barras via câmera do dispositivo, com o uso da biblioteca QuaggaJS, que vincula o produto ao código do fabricante de forma automática;</w:t>
      </w:r>
    </w:p>
    <w:p>
      <w:pPr>
        <w:pStyle w:val="ListBullet"/>
        <w:spacing w:line="360" w:lineRule="auto" w:after="80"/>
        <w:jc w:val="both"/>
      </w:pPr>
      <w:r>
        <w:rPr>
          <w:rFonts w:ascii="Times New Roman" w:hAnsi="Times New Roman"/>
          <w:sz w:val="24"/>
        </w:rPr>
        <w:t>Inclusão de uma validação de faixa de preço: quando o valor informado destoa significativamente da média histórica do produto (variação acima de 50%), o sistema exibe um alerta e solicita confirmação do comerciante;</w:t>
      </w:r>
    </w:p>
    <w:p>
      <w:pPr>
        <w:pStyle w:val="ListBullet"/>
        <w:spacing w:line="360" w:lineRule="auto" w:after="80"/>
        <w:jc w:val="both"/>
      </w:pPr>
      <w:r>
        <w:rPr>
          <w:rFonts w:ascii="Times New Roman" w:hAnsi="Times New Roman"/>
          <w:sz w:val="24"/>
        </w:rPr>
        <w:t>Previsão, em uma próxima iteração, de leitura automática de preço e código de barras a partir da foto da etiqueta, com técnicas de OCR e visão computacional.</w:t>
      </w:r>
    </w:p>
    <w:p>
      <w:pPr>
        <w:pStyle w:val="Heading2"/>
        <w:spacing w:before="240" w:after="160"/>
        <w:jc w:val="left"/>
      </w:pPr>
      <w:r>
        <w:rPr>
          <w:rFonts w:ascii="Times New Roman" w:hAnsi="Times New Roman"/>
          <w:color w:val="000000"/>
          <w:sz w:val="24"/>
        </w:rPr>
        <w:t>4.7 Cadastro de produto – UX do formulário</w:t>
      </w:r>
    </w:p>
    <w:p>
      <w:pPr>
        <w:spacing w:line="360" w:lineRule="auto" w:before="0" w:after="120"/>
        <w:ind w:firstLine="709"/>
        <w:jc w:val="both"/>
      </w:pPr>
      <w:r>
        <w:rPr>
          <w:rFonts w:ascii="Times New Roman" w:hAnsi="Times New Roman"/>
          <w:b w:val="0"/>
          <w:i w:val="0"/>
          <w:sz w:val="24"/>
        </w:rPr>
        <w:t>O formulário de cadastro de produto apresentava vários problemas de usabilidade. O campo de preço incrementava apenas um centavo por clique, o que tornava inviável definir valores altos. A validação misturava vírgula e ponto, gerando erros de processamento, e não havia formatação automática do valor digitado.</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Substituição do input numérico padrão por um campo monetário com máscara automática: ao digitar “1599”, o sistema exibe “R$ 15,99”, eliminando ambiguidades de formato;</w:t>
      </w:r>
    </w:p>
    <w:p>
      <w:pPr>
        <w:pStyle w:val="ListBullet"/>
        <w:spacing w:line="360" w:lineRule="auto" w:after="80"/>
        <w:jc w:val="both"/>
      </w:pPr>
      <w:r>
        <w:rPr>
          <w:rFonts w:ascii="Times New Roman" w:hAnsi="Times New Roman"/>
          <w:sz w:val="24"/>
        </w:rPr>
        <w:t>Adição, ao lado do campo, de botões de incremento rápido (+R$ 0,10, +R$ 1,00 e +R$ 10,00), agilizando ajustes em valores maiores;</w:t>
      </w:r>
    </w:p>
    <w:p>
      <w:pPr>
        <w:pStyle w:val="ListBullet"/>
        <w:spacing w:line="360" w:lineRule="auto" w:after="80"/>
        <w:jc w:val="both"/>
      </w:pPr>
      <w:r>
        <w:rPr>
          <w:rFonts w:ascii="Times New Roman" w:hAnsi="Times New Roman"/>
          <w:sz w:val="24"/>
        </w:rPr>
        <w:t>Aceitação tanto de vírgula quanto de ponto como separadores decimais, com normalização interna para o formato correto antes do envio ao backend.</w:t>
      </w:r>
    </w:p>
    <w:p>
      <w:pPr>
        <w:pStyle w:val="Heading2"/>
        <w:spacing w:before="240" w:after="160"/>
        <w:jc w:val="left"/>
      </w:pPr>
      <w:r>
        <w:rPr>
          <w:rFonts w:ascii="Times New Roman" w:hAnsi="Times New Roman"/>
          <w:color w:val="000000"/>
          <w:sz w:val="24"/>
        </w:rPr>
        <w:t>4.8 Lista de compras</w:t>
      </w:r>
    </w:p>
    <w:p>
      <w:pPr>
        <w:spacing w:line="360" w:lineRule="auto" w:before="0" w:after="120"/>
        <w:ind w:firstLine="709"/>
        <w:jc w:val="both"/>
      </w:pPr>
      <w:r>
        <w:rPr>
          <w:rFonts w:ascii="Times New Roman" w:hAnsi="Times New Roman"/>
          <w:b w:val="0"/>
          <w:i w:val="0"/>
          <w:sz w:val="24"/>
        </w:rPr>
        <w:t>A funcionalidade de lista de compras possuía duas limitações principais. A primeira era a impossibilidade de excluir um item específico — só era permitido remover a lista inteira. A segunda era a ausência de modo de edição após a criação da lista, obrigando o usuário a recomeçar o processo em caso de erro.</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Inclusão de um botão individual de exclusão em cada item (ícone de lixeira), com tooltip de confirmação para evitar remoções acidentais;</w:t>
      </w:r>
    </w:p>
    <w:p>
      <w:pPr>
        <w:pStyle w:val="ListBullet"/>
        <w:spacing w:line="360" w:lineRule="auto" w:after="80"/>
        <w:jc w:val="both"/>
      </w:pPr>
      <w:r>
        <w:rPr>
          <w:rFonts w:ascii="Times New Roman" w:hAnsi="Times New Roman"/>
          <w:sz w:val="24"/>
        </w:rPr>
        <w:t>Implementação de um modo de edição que permite alterar quantidades, renomear itens e reordená-los após a criação da lista;</w:t>
      </w:r>
    </w:p>
    <w:p>
      <w:pPr>
        <w:pStyle w:val="ListBullet"/>
        <w:spacing w:line="360" w:lineRule="auto" w:after="80"/>
        <w:jc w:val="both"/>
      </w:pPr>
      <w:r>
        <w:rPr>
          <w:rFonts w:ascii="Times New Roman" w:hAnsi="Times New Roman"/>
          <w:sz w:val="24"/>
        </w:rPr>
        <w:t>Correção do fluxo de cadastro item-por-linha: vários produtos digitados em linhas separadas passam a ser agrupados corretamente em uma única lista.</w:t>
      </w:r>
    </w:p>
    <w:p>
      <w:pPr>
        <w:pStyle w:val="Heading2"/>
        <w:spacing w:before="240" w:after="160"/>
        <w:jc w:val="left"/>
      </w:pPr>
      <w:r>
        <w:rPr>
          <w:rFonts w:ascii="Times New Roman" w:hAnsi="Times New Roman"/>
          <w:color w:val="000000"/>
          <w:sz w:val="24"/>
        </w:rPr>
        <w:t>4.9 Tela inicial (Home)</w:t>
      </w:r>
    </w:p>
    <w:p>
      <w:pPr>
        <w:spacing w:line="360" w:lineRule="auto" w:before="0" w:after="120"/>
        <w:ind w:firstLine="709"/>
        <w:jc w:val="both"/>
      </w:pPr>
      <w:r>
        <w:rPr>
          <w:rFonts w:ascii="Times New Roman" w:hAnsi="Times New Roman"/>
          <w:b w:val="0"/>
          <w:i w:val="0"/>
          <w:sz w:val="24"/>
        </w:rPr>
        <w:t>A tela inicial foi descrita pelos avaliadores como visualmente esvaziada e sem hierarquia. As opções apareciam dispostas sem priorização clara, tanto para usuários logados quanto para visitantes, o que dificultava o primeiro contato com a plataforma.</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Redesenho da home com um carrossel de destaques no topo (promoções, mercados bem avaliados e produtos populares), funcionando como ponto focal da página;</w:t>
      </w:r>
    </w:p>
    <w:p>
      <w:pPr>
        <w:pStyle w:val="ListBullet"/>
        <w:spacing w:line="360" w:lineRule="auto" w:after="80"/>
        <w:jc w:val="both"/>
      </w:pPr>
      <w:r>
        <w:rPr>
          <w:rFonts w:ascii="Times New Roman" w:hAnsi="Times New Roman"/>
          <w:sz w:val="24"/>
        </w:rPr>
        <w:t>Reorganização do grid de ações rápidas em dois níveis de hierarquia: ações principais (Comparar Preços, Minha Lista, Mercados Próximos) em cards de maior dimensão e ações secundárias (Ranking, Mapa, Cadastrar) em cards menores logo abaixo;</w:t>
      </w:r>
    </w:p>
    <w:p>
      <w:pPr>
        <w:pStyle w:val="ListBullet"/>
        <w:spacing w:line="360" w:lineRule="auto" w:after="80"/>
        <w:jc w:val="both"/>
      </w:pPr>
      <w:r>
        <w:rPr>
          <w:rFonts w:ascii="Times New Roman" w:hAnsi="Times New Roman"/>
          <w:sz w:val="24"/>
        </w:rPr>
        <w:t>Personalização da home para usuários autenticados, com saudação, resumo das listas recentes e sugestões baseadas no histórico, em vez da exibição indiferenciada de todos os menus.</w:t>
      </w:r>
    </w:p>
    <w:p>
      <w:pPr>
        <w:pStyle w:val="Heading2"/>
        <w:spacing w:before="240" w:after="160"/>
        <w:jc w:val="left"/>
      </w:pPr>
      <w:r>
        <w:rPr>
          <w:rFonts w:ascii="Times New Roman" w:hAnsi="Times New Roman"/>
          <w:color w:val="000000"/>
          <w:sz w:val="24"/>
        </w:rPr>
        <w:t>4.10 Responsividade</w:t>
      </w:r>
    </w:p>
    <w:p>
      <w:pPr>
        <w:spacing w:line="360" w:lineRule="auto" w:before="0" w:after="120"/>
        <w:ind w:firstLine="709"/>
        <w:jc w:val="both"/>
      </w:pPr>
      <w:r>
        <w:rPr>
          <w:rFonts w:ascii="Times New Roman" w:hAnsi="Times New Roman"/>
          <w:b w:val="0"/>
          <w:i w:val="0"/>
          <w:sz w:val="24"/>
        </w:rPr>
        <w:t>O layout em dispositivos móveis já funcionava parcialmente, mas algumas seções não se adaptavam corretamente, quebrando em telas pequenas. Como parte significativa do público-alvo realiza compras consultando o celular dentro do próprio mercado, esse ponto foi tratado como prioridade.</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Revisão dos breakpoints CSS para smartphones (320px–480px), tablets (481px–768px) e desktops (acima de 769px);</w:t>
      </w:r>
    </w:p>
    <w:p>
      <w:pPr>
        <w:pStyle w:val="ListBullet"/>
        <w:spacing w:line="360" w:lineRule="auto" w:after="80"/>
        <w:jc w:val="both"/>
      </w:pPr>
      <w:r>
        <w:rPr>
          <w:rFonts w:ascii="Times New Roman" w:hAnsi="Times New Roman"/>
          <w:sz w:val="24"/>
        </w:rPr>
        <w:t>Conversão das tabelas de comparação de preços em cards empilhados nas telas pequenas, evitando rolagem horizontal;</w:t>
      </w:r>
    </w:p>
    <w:p>
      <w:pPr>
        <w:pStyle w:val="ListBullet"/>
        <w:spacing w:line="360" w:lineRule="auto" w:after="80"/>
        <w:jc w:val="both"/>
      </w:pPr>
      <w:r>
        <w:rPr>
          <w:rFonts w:ascii="Times New Roman" w:hAnsi="Times New Roman"/>
          <w:sz w:val="24"/>
        </w:rPr>
        <w:t>Ajuste do menu hamburger para funcionar de forma consistente em todas as páginas, com animação suave de abertura e fechamento.</w:t>
      </w:r>
    </w:p>
    <w:p>
      <w:pPr>
        <w:pStyle w:val="Heading2"/>
        <w:spacing w:before="240" w:after="160"/>
        <w:jc w:val="left"/>
      </w:pPr>
      <w:r>
        <w:rPr>
          <w:rFonts w:ascii="Times New Roman" w:hAnsi="Times New Roman"/>
          <w:color w:val="000000"/>
          <w:sz w:val="24"/>
        </w:rPr>
        <w:t>4.11 Avaliações e ranking</w:t>
      </w:r>
    </w:p>
    <w:p>
      <w:pPr>
        <w:spacing w:line="360" w:lineRule="auto" w:before="0" w:after="120"/>
        <w:ind w:firstLine="709"/>
        <w:jc w:val="both"/>
      </w:pPr>
      <w:r>
        <w:rPr>
          <w:rFonts w:ascii="Times New Roman" w:hAnsi="Times New Roman"/>
          <w:b w:val="0"/>
          <w:i w:val="0"/>
          <w:sz w:val="24"/>
        </w:rPr>
        <w:t>A fórmula original do ranking dava o mesmo peso a um mercado com uma única avaliação de cinco estrelas e a outro com centenas de avaliações positivas, o que distorcia o resultado e prejudicava a confiabilidade da lista.</w:t>
      </w:r>
    </w:p>
    <w:p>
      <w:pPr>
        <w:spacing w:line="360" w:lineRule="auto" w:before="0" w:after="120"/>
        <w:ind w:firstLine="709"/>
        <w:jc w:val="both"/>
      </w:pPr>
      <w:r>
        <w:rPr>
          <w:rFonts w:ascii="Times New Roman" w:hAnsi="Times New Roman"/>
          <w:b/>
          <w:i w:val="0"/>
          <w:sz w:val="24"/>
        </w:rPr>
        <w:t>Ações implementadas:</w:t>
      </w:r>
    </w:p>
    <w:p>
      <w:pPr>
        <w:pStyle w:val="ListBullet"/>
        <w:spacing w:line="360" w:lineRule="auto" w:after="80"/>
        <w:jc w:val="both"/>
      </w:pPr>
      <w:r>
        <w:rPr>
          <w:rFonts w:ascii="Times New Roman" w:hAnsi="Times New Roman"/>
          <w:sz w:val="24"/>
        </w:rPr>
        <w:t>Adoção de média ponderada bayesiana, que combina a nota média e o número de avaliações, evitando que estabelecimentos com poucas avaliações ocupem o topo da lista;</w:t>
      </w:r>
    </w:p>
    <w:p>
      <w:pPr>
        <w:pStyle w:val="ListBullet"/>
        <w:spacing w:line="360" w:lineRule="auto" w:after="80"/>
        <w:jc w:val="both"/>
      </w:pPr>
      <w:r>
        <w:rPr>
          <w:rFonts w:ascii="Times New Roman" w:hAnsi="Times New Roman"/>
          <w:sz w:val="24"/>
        </w:rPr>
        <w:t>Exibição do número total de avaliações ao lado da nota média em todos os contextos (lista de mercados, ranking e cards), conferindo maior transparência ao usuário;</w:t>
      </w:r>
    </w:p>
    <w:p>
      <w:pPr>
        <w:pStyle w:val="ListBullet"/>
        <w:spacing w:line="360" w:lineRule="auto" w:after="80"/>
        <w:jc w:val="both"/>
      </w:pPr>
      <w:r>
        <w:rPr>
          <w:rFonts w:ascii="Times New Roman" w:hAnsi="Times New Roman"/>
          <w:sz w:val="24"/>
        </w:rPr>
        <w:t>Definição de critério de desempate por volume de avaliações, em substituição à ordenação alfabética que ocorria por padrão.</w:t>
      </w:r>
    </w:p>
    <w:p>
      <w:pPr>
        <w:pStyle w:val="Heading2"/>
        <w:spacing w:before="240" w:after="160"/>
        <w:jc w:val="left"/>
      </w:pPr>
      <w:r>
        <w:rPr>
          <w:rFonts w:ascii="Times New Roman" w:hAnsi="Times New Roman"/>
          <w:color w:val="000000"/>
          <w:sz w:val="24"/>
        </w:rPr>
        <w:t>4.12 Correções de bugs</w:t>
      </w:r>
    </w:p>
    <w:p>
      <w:pPr>
        <w:spacing w:line="360" w:lineRule="auto" w:before="0" w:after="120"/>
        <w:ind w:firstLine="709"/>
        <w:jc w:val="both"/>
      </w:pPr>
      <w:r>
        <w:rPr>
          <w:rFonts w:ascii="Times New Roman" w:hAnsi="Times New Roman"/>
          <w:b w:val="0"/>
          <w:i w:val="0"/>
          <w:sz w:val="24"/>
        </w:rPr>
        <w:t>Além das melhorias estruturais, vários bugs pontuais foram identificados no review e corrigidos nesta fase:</w:t>
      </w:r>
    </w:p>
    <w:p>
      <w:pPr>
        <w:pStyle w:val="ListBullet"/>
        <w:spacing w:line="360" w:lineRule="auto" w:after="80"/>
        <w:jc w:val="both"/>
      </w:pPr>
      <w:r>
        <w:rPr>
          <w:rFonts w:ascii="Times New Roman" w:hAnsi="Times New Roman"/>
          <w:sz w:val="24"/>
        </w:rPr>
        <w:t>Correção dos botões de voltar que redirecionavam para a tela incorreta;</w:t>
      </w:r>
    </w:p>
    <w:p>
      <w:pPr>
        <w:pStyle w:val="ListBullet"/>
        <w:spacing w:line="360" w:lineRule="auto" w:after="80"/>
        <w:jc w:val="both"/>
      </w:pPr>
      <w:r>
        <w:rPr>
          <w:rFonts w:ascii="Times New Roman" w:hAnsi="Times New Roman"/>
          <w:sz w:val="24"/>
        </w:rPr>
        <w:t>Inclusão de fallback para imagens antigas armazenadas no banco: quando a URL original falha, o sistema exibe automaticamente um placeholder;</w:t>
      </w:r>
    </w:p>
    <w:p>
      <w:pPr>
        <w:pStyle w:val="ListBullet"/>
        <w:spacing w:line="360" w:lineRule="auto" w:after="80"/>
        <w:jc w:val="both"/>
      </w:pPr>
      <w:r>
        <w:rPr>
          <w:rFonts w:ascii="Times New Roman" w:hAnsi="Times New Roman"/>
          <w:sz w:val="24"/>
        </w:rPr>
        <w:t>Reforço da validação no cadastro de conta, com checagens no frontend (HTML5 required + JavaScript) e no backend (Bean Validation do Spring), recusando campos nulos e e-mails malformados.</w:t>
      </w:r>
    </w:p>
    <w:p>
      <w:r>
        <w:br w:type="page"/>
      </w:r>
    </w:p>
    <w:p>
      <w:pPr>
        <w:pStyle w:val="Heading1"/>
        <w:spacing w:before="360" w:after="160"/>
        <w:jc w:val="left"/>
      </w:pPr>
      <w:r>
        <w:rPr>
          <w:rFonts w:ascii="Times New Roman" w:hAnsi="Times New Roman"/>
          <w:color w:val="000000"/>
          <w:sz w:val="28"/>
        </w:rPr>
        <w:t>5 PARTE 2 – APLICAÇÃO DOS CONCEITOS-CHAVE DE IHC</w:t>
      </w:r>
    </w:p>
    <w:p>
      <w:pPr>
        <w:spacing w:line="360" w:lineRule="auto" w:before="0" w:after="120"/>
        <w:ind w:firstLine="709"/>
        <w:jc w:val="both"/>
      </w:pPr>
      <w:r>
        <w:rPr>
          <w:rFonts w:ascii="Times New Roman" w:hAnsi="Times New Roman"/>
          <w:b w:val="0"/>
          <w:i w:val="0"/>
          <w:sz w:val="24"/>
        </w:rPr>
        <w:t>Nesta seção, as melhorias descritas anteriormente são relidas a partir dos quatro conceitos-chave previstos no enunciado do trabalho: interação, affordance, interface e qualidade de uso. O objetivo não é repetir os ajustes, mas mostrar de que forma cada decisão se ancora em princípios teóricos e em referências da literatura de IHC.</w:t>
      </w:r>
    </w:p>
    <w:p>
      <w:pPr>
        <w:pStyle w:val="Heading2"/>
        <w:spacing w:before="240" w:after="160"/>
        <w:jc w:val="left"/>
      </w:pPr>
      <w:r>
        <w:rPr>
          <w:rFonts w:ascii="Times New Roman" w:hAnsi="Times New Roman"/>
          <w:color w:val="000000"/>
          <w:sz w:val="24"/>
        </w:rPr>
        <w:t>5.1 Interação</w:t>
      </w:r>
    </w:p>
    <w:p>
      <w:pPr>
        <w:pStyle w:val="Heading3"/>
        <w:spacing w:before="240" w:after="160"/>
        <w:jc w:val="left"/>
      </w:pPr>
      <w:r>
        <w:rPr>
          <w:rFonts w:ascii="Times New Roman" w:hAnsi="Times New Roman"/>
          <w:color w:val="000000"/>
          <w:sz w:val="24"/>
        </w:rPr>
        <w:t>5.1.1 Definição do fluxo de tarefas do usuário</w:t>
      </w:r>
    </w:p>
    <w:p>
      <w:pPr>
        <w:spacing w:line="360" w:lineRule="auto" w:before="0" w:after="120"/>
        <w:ind w:firstLine="709"/>
        <w:jc w:val="both"/>
      </w:pPr>
      <w:r>
        <w:rPr>
          <w:rFonts w:ascii="Times New Roman" w:hAnsi="Times New Roman"/>
          <w:b w:val="0"/>
          <w:i w:val="0"/>
          <w:sz w:val="24"/>
        </w:rPr>
        <w:t>A separação de perfis (Seção 4.5) reestruturou os fluxos de tarefas da plataforma. Na versão anterior, havia um único fluxo genérico, em que todos os usuários podiam executar qualquer ação — configuração incompatível com o modelo de negócio. Após a revisão, dois fluxos distintos passaram a coexistir:</w:t>
      </w:r>
    </w:p>
    <w:p>
      <w:pPr>
        <w:spacing w:line="360" w:lineRule="auto" w:before="0" w:after="120"/>
        <w:ind w:firstLine="709"/>
        <w:jc w:val="both"/>
      </w:pPr>
      <w:r>
        <w:rPr>
          <w:rFonts w:ascii="Times New Roman" w:hAnsi="Times New Roman"/>
          <w:b w:val="0"/>
          <w:i w:val="0"/>
          <w:sz w:val="24"/>
        </w:rPr>
        <w:t>Fluxo do Consumidor: Home → Buscar Produtos → Comparar Preços → Adicionar à Lista → Otimizar Lista → Plano de Compras. Cada etapa é sequencial e oferece feedback visual nas transições (loading spinner, toast de confirmação).</w:t>
      </w:r>
    </w:p>
    <w:p>
      <w:pPr>
        <w:spacing w:line="360" w:lineRule="auto" w:before="0" w:after="120"/>
        <w:ind w:firstLine="709"/>
        <w:jc w:val="both"/>
      </w:pPr>
      <w:r>
        <w:rPr>
          <w:rFonts w:ascii="Times New Roman" w:hAnsi="Times New Roman"/>
          <w:b w:val="0"/>
          <w:i w:val="0"/>
          <w:sz w:val="24"/>
        </w:rPr>
        <w:t>Fluxo do Comerciante: Login (CNPJ) → Painel do Comércio → Selecionar Mercado → Cadastrar Produto com foto da etiqueta → Publicar Preço → Acompanhar Avaliações. Aqui o fluxo é guiado: cada etapa indica explicitamente qual é a próxima ação prevista.</w:t>
      </w:r>
    </w:p>
    <w:p>
      <w:pPr>
        <w:spacing w:line="360" w:lineRule="auto" w:before="0" w:after="120"/>
        <w:ind w:firstLine="709"/>
        <w:jc w:val="both"/>
      </w:pPr>
      <w:r>
        <w:rPr>
          <w:rFonts w:ascii="Times New Roman" w:hAnsi="Times New Roman"/>
          <w:b w:val="0"/>
          <w:i w:val="0"/>
          <w:sz w:val="24"/>
        </w:rPr>
        <w:t>Essa reestruturação dialoga com os Sete Estágios da Ação de Norman (2013), nos quais o usuário percorre etapas de formação do objetivo, planejamento, execução e avaliação. Ao tornar os fluxos explícitos, a interface reduz o esforço cognitivo associado a cada uma dessas etapas.</w:t>
      </w:r>
    </w:p>
    <w:p>
      <w:pPr>
        <w:pStyle w:val="Heading3"/>
        <w:spacing w:before="240" w:after="160"/>
        <w:jc w:val="left"/>
      </w:pPr>
      <w:r>
        <w:rPr>
          <w:rFonts w:ascii="Times New Roman" w:hAnsi="Times New Roman"/>
          <w:color w:val="000000"/>
          <w:sz w:val="24"/>
        </w:rPr>
        <w:t>5.1.2 Ciclos de ação e feedback</w:t>
      </w:r>
    </w:p>
    <w:p>
      <w:pPr>
        <w:spacing w:line="360" w:lineRule="auto" w:before="0" w:after="120"/>
        <w:ind w:firstLine="709"/>
        <w:jc w:val="both"/>
      </w:pPr>
      <w:r>
        <w:rPr>
          <w:rFonts w:ascii="Times New Roman" w:hAnsi="Times New Roman"/>
          <w:b w:val="0"/>
          <w:i w:val="0"/>
          <w:sz w:val="24"/>
        </w:rPr>
        <w:t>Toda ação do usuário passa a gerar uma resposta visível e imediata do sistema. Esse ciclo de ação-feedback aparece em vários pontos:</w:t>
      </w:r>
    </w:p>
    <w:p>
      <w:pPr>
        <w:pStyle w:val="ListBullet"/>
        <w:spacing w:line="360" w:lineRule="auto" w:after="80"/>
        <w:jc w:val="both"/>
      </w:pPr>
      <w:r>
        <w:rPr>
          <w:rFonts w:ascii="Times New Roman" w:hAnsi="Times New Roman"/>
          <w:sz w:val="24"/>
        </w:rPr>
        <w:t>Cadastro de produto com foto: ao subir a etiqueta, o sistema apresenta preview da imagem, barra de progresso e confirmação visual (toast verde “Produto cadastrado com sucesso”), completando o ciclo de ação;</w:t>
      </w:r>
    </w:p>
    <w:p>
      <w:pPr>
        <w:pStyle w:val="ListBullet"/>
        <w:spacing w:line="360" w:lineRule="auto" w:after="80"/>
        <w:jc w:val="both"/>
      </w:pPr>
      <w:r>
        <w:rPr>
          <w:rFonts w:ascii="Times New Roman" w:hAnsi="Times New Roman"/>
          <w:sz w:val="24"/>
        </w:rPr>
        <w:t>Validação de preço fora da faixa: quando o comerciante informa um valor 50% acima da média histórica, o sistema exibe alerta amarelo com a referência e pede confirmação — um feedback preventivo que interrompe o ciclo para evitar erro;</w:t>
      </w:r>
    </w:p>
    <w:p>
      <w:pPr>
        <w:pStyle w:val="ListBullet"/>
        <w:spacing w:line="360" w:lineRule="auto" w:after="80"/>
        <w:jc w:val="both"/>
      </w:pPr>
      <w:r>
        <w:rPr>
          <w:rFonts w:ascii="Times New Roman" w:hAnsi="Times New Roman"/>
          <w:sz w:val="24"/>
        </w:rPr>
        <w:t>Busca no mapa: ao digitar uma cidade ou bairro, o autocomplete sugere opções em tempo real; ao selecionar uma sugestão, o mapa anima até a nova localização e os marcadores aparecem progressivamente;</w:t>
      </w:r>
    </w:p>
    <w:p>
      <w:pPr>
        <w:pStyle w:val="ListBullet"/>
        <w:spacing w:line="360" w:lineRule="auto" w:after="80"/>
        <w:jc w:val="both"/>
      </w:pPr>
      <w:r>
        <w:rPr>
          <w:rFonts w:ascii="Times New Roman" w:hAnsi="Times New Roman"/>
          <w:sz w:val="24"/>
        </w:rPr>
        <w:t>Exclusão de item da lista: ao acionar a lixeira, surge um tooltip de confirmação “Remover item?” com opções Sim/Não, seguido de animação de remoção e toast informativo, prevenindo ações irreversíveis por engano.</w:t>
      </w:r>
    </w:p>
    <w:p>
      <w:pPr>
        <w:pStyle w:val="Heading3"/>
        <w:spacing w:before="240" w:after="160"/>
        <w:jc w:val="left"/>
      </w:pPr>
      <w:r>
        <w:rPr>
          <w:rFonts w:ascii="Times New Roman" w:hAnsi="Times New Roman"/>
          <w:color w:val="000000"/>
          <w:sz w:val="24"/>
        </w:rPr>
        <w:t>5.1.3 Respostas visíveis do sistema</w:t>
      </w:r>
    </w:p>
    <w:p>
      <w:pPr>
        <w:spacing w:line="360" w:lineRule="auto" w:before="0" w:after="120"/>
        <w:ind w:firstLine="709"/>
        <w:jc w:val="both"/>
      </w:pPr>
      <w:r>
        <w:rPr>
          <w:rFonts w:ascii="Times New Roman" w:hAnsi="Times New Roman"/>
          <w:b w:val="0"/>
          <w:i w:val="0"/>
          <w:sz w:val="24"/>
        </w:rPr>
        <w:t>A revisão da navegação (Seção 4.3) ilustra bem o princípio de visibilidade do estado do sistema. O botão de voltar funciona como uma “saída de emergência” sempre visível, atendendo à Heurística 3 de Nielsen (1994), e o destaque do link ativo no header sinaliza ao usuário em que ponto da hierarquia ele se encontra, em consonância com a Heurística 1 (visibilidade do status do sistema).</w:t>
      </w:r>
    </w:p>
    <w:p>
      <w:pPr>
        <w:spacing w:line="360" w:lineRule="auto" w:before="0" w:after="120"/>
        <w:ind w:firstLine="709"/>
        <w:jc w:val="both"/>
      </w:pPr>
      <w:r>
        <w:rPr>
          <w:rFonts w:ascii="Times New Roman" w:hAnsi="Times New Roman"/>
          <w:b w:val="0"/>
          <w:i w:val="0"/>
          <w:sz w:val="24"/>
        </w:rPr>
        <w:t>Spinners durante operações assíncronas e toasts contextuais — verde para sucesso, vermelho para erro, amarelo para aviso — garantem que o sistema nunca permaneça em silêncio durante uma interação prolongada. Esse princípio, embora simples, é um dos pilares do design de interação segundo Cooper et al. (2014).</w:t>
      </w:r>
    </w:p>
    <w:p>
      <w:pPr>
        <w:pStyle w:val="Heading2"/>
        <w:spacing w:before="240" w:after="160"/>
        <w:jc w:val="left"/>
      </w:pPr>
      <w:r>
        <w:rPr>
          <w:rFonts w:ascii="Times New Roman" w:hAnsi="Times New Roman"/>
          <w:color w:val="000000"/>
          <w:sz w:val="24"/>
        </w:rPr>
        <w:t>5.2 Affordance</w:t>
      </w:r>
    </w:p>
    <w:p>
      <w:pPr>
        <w:pStyle w:val="Heading3"/>
        <w:spacing w:before="240" w:after="160"/>
        <w:jc w:val="left"/>
      </w:pPr>
      <w:r>
        <w:rPr>
          <w:rFonts w:ascii="Times New Roman" w:hAnsi="Times New Roman"/>
          <w:color w:val="000000"/>
          <w:sz w:val="24"/>
        </w:rPr>
        <w:t>5.2.1 Elementos que indicam claramente sua função</w:t>
      </w:r>
    </w:p>
    <w:p>
      <w:pPr>
        <w:spacing w:line="360" w:lineRule="auto" w:before="0" w:after="120"/>
        <w:ind w:firstLine="709"/>
        <w:jc w:val="both"/>
      </w:pPr>
      <w:r>
        <w:rPr>
          <w:rFonts w:ascii="Times New Roman" w:hAnsi="Times New Roman"/>
          <w:b w:val="0"/>
          <w:i w:val="0"/>
          <w:sz w:val="24"/>
        </w:rPr>
        <w:t>O conceito de affordance, na acepção adotada por Norman (2013), refere-se às propriedades percebidas de um objeto que sugerem sua utilização. Diversas melhorias do MercadoCerto reforçam essas affordances perceptíveis:</w:t>
      </w:r>
    </w:p>
    <w:p>
      <w:pPr>
        <w:pStyle w:val="ListBullet"/>
        <w:spacing w:line="360" w:lineRule="auto" w:after="80"/>
        <w:jc w:val="both"/>
      </w:pPr>
      <w:r>
        <w:rPr>
          <w:rFonts w:ascii="Times New Roman" w:hAnsi="Times New Roman"/>
          <w:sz w:val="24"/>
        </w:rPr>
        <w:t>O botão “Voltar” combina ícone de seta e rótulo textual. A duplicidade de pistas — direção indicada pelo ícone e confirmação pelo texto — reduz a ambiguidade comum em botões apenas icônicos;</w:t>
      </w:r>
    </w:p>
    <w:p>
      <w:pPr>
        <w:pStyle w:val="ListBullet"/>
        <w:spacing w:line="360" w:lineRule="auto" w:after="80"/>
        <w:jc w:val="both"/>
      </w:pPr>
      <w:r>
        <w:rPr>
          <w:rFonts w:ascii="Times New Roman" w:hAnsi="Times New Roman"/>
          <w:sz w:val="24"/>
        </w:rPr>
        <w:t>Os botões de incremento de preço (+R$ 0,10, +R$ 1,00 e +R$ 10,00) explicitam, no próprio rótulo, o valor a ser adicionado. A forma retangular com borda e cor de destaque comunica a affordance de “clicável”;</w:t>
      </w:r>
    </w:p>
    <w:p>
      <w:pPr>
        <w:pStyle w:val="ListBullet"/>
        <w:spacing w:line="360" w:lineRule="auto" w:after="80"/>
        <w:jc w:val="both"/>
      </w:pPr>
      <w:r>
        <w:rPr>
          <w:rFonts w:ascii="Times New Roman" w:hAnsi="Times New Roman"/>
          <w:sz w:val="24"/>
        </w:rPr>
        <w:t>O ícone de lixeira para excluir itens aciona uma metáfora visual universalmente reconhecida; a cor vermelha reforça a semântica de ação destrutiva, prevenindo equívocos;</w:t>
      </w:r>
    </w:p>
    <w:p>
      <w:pPr>
        <w:pStyle w:val="ListBullet"/>
        <w:spacing w:line="360" w:lineRule="auto" w:after="80"/>
        <w:jc w:val="both"/>
      </w:pPr>
      <w:r>
        <w:rPr>
          <w:rFonts w:ascii="Times New Roman" w:hAnsi="Times New Roman"/>
          <w:sz w:val="24"/>
        </w:rPr>
        <w:t>O campo de busca no mapa adota ícone de lupa e placeholder “Buscar cidade ou bairro…”, aliando ícone e texto para evidenciar a função de pesquisa.</w:t>
      </w:r>
    </w:p>
    <w:p>
      <w:pPr>
        <w:pStyle w:val="Heading3"/>
        <w:spacing w:before="240" w:after="160"/>
        <w:jc w:val="left"/>
      </w:pPr>
      <w:r>
        <w:rPr>
          <w:rFonts w:ascii="Times New Roman" w:hAnsi="Times New Roman"/>
          <w:color w:val="000000"/>
          <w:sz w:val="24"/>
        </w:rPr>
        <w:t>5.2.2 Eliminação de falsas affordances</w:t>
      </w:r>
    </w:p>
    <w:p>
      <w:pPr>
        <w:spacing w:line="360" w:lineRule="auto" w:before="0" w:after="120"/>
        <w:ind w:firstLine="709"/>
        <w:jc w:val="both"/>
      </w:pPr>
      <w:r>
        <w:rPr>
          <w:rFonts w:ascii="Times New Roman" w:hAnsi="Times New Roman"/>
          <w:b w:val="0"/>
          <w:i w:val="0"/>
          <w:sz w:val="24"/>
        </w:rPr>
        <w:t>O redesenho da home (Seção 4.9) e a reformulação do cadastro de produtos (Seções 4.5 e 4.7) eliminaram falsas affordances apontadas no review:</w:t>
      </w:r>
    </w:p>
    <w:p>
      <w:pPr>
        <w:pStyle w:val="ListBullet"/>
        <w:spacing w:line="360" w:lineRule="auto" w:after="80"/>
        <w:jc w:val="both"/>
      </w:pPr>
      <w:r>
        <w:rPr>
          <w:rFonts w:ascii="Times New Roman" w:hAnsi="Times New Roman"/>
          <w:sz w:val="24"/>
        </w:rPr>
        <w:t>Cards informativos que aparentavam ser clicáveis sem possuir essa função tiveram seu efeito hover removido. O cursor pointer e a elevação de sombra agora ocorrem apenas em elementos efetivamente interativos;</w:t>
      </w:r>
    </w:p>
    <w:p>
      <w:pPr>
        <w:pStyle w:val="ListBullet"/>
        <w:spacing w:line="360" w:lineRule="auto" w:after="80"/>
        <w:jc w:val="both"/>
      </w:pPr>
      <w:r>
        <w:rPr>
          <w:rFonts w:ascii="Times New Roman" w:hAnsi="Times New Roman"/>
          <w:sz w:val="24"/>
        </w:rPr>
        <w:t>O botão “Cadastrar Produto” deixou a listagem pública de produtos. Sua presença naquele contexto sugeria, ao consumidor, uma ação que de fato não lhe cabia, configurando uma falsa affordance;</w:t>
      </w:r>
    </w:p>
    <w:p>
      <w:pPr>
        <w:pStyle w:val="ListBullet"/>
        <w:spacing w:line="360" w:lineRule="auto" w:after="80"/>
        <w:jc w:val="both"/>
      </w:pPr>
      <w:r>
        <w:rPr>
          <w:rFonts w:ascii="Times New Roman" w:hAnsi="Times New Roman"/>
          <w:sz w:val="24"/>
        </w:rPr>
        <w:t>Textos sublinhados que não constituíam hyperlinks foram convertidos em negrito ou itálico. O sublinhado ficou reservado exclusivamente aos links reais, em respeito à convenção de uso da web.</w:t>
      </w:r>
    </w:p>
    <w:p>
      <w:pPr>
        <w:pStyle w:val="Heading3"/>
        <w:spacing w:before="240" w:after="160"/>
        <w:jc w:val="left"/>
      </w:pPr>
      <w:r>
        <w:rPr>
          <w:rFonts w:ascii="Times New Roman" w:hAnsi="Times New Roman"/>
          <w:color w:val="000000"/>
          <w:sz w:val="24"/>
        </w:rPr>
        <w:t>5.2.3 Cores, formas e metáforas visuais</w:t>
      </w:r>
    </w:p>
    <w:p>
      <w:pPr>
        <w:spacing w:line="360" w:lineRule="auto" w:before="0" w:after="120"/>
        <w:ind w:firstLine="709"/>
        <w:jc w:val="both"/>
      </w:pPr>
      <w:r>
        <w:rPr>
          <w:rFonts w:ascii="Times New Roman" w:hAnsi="Times New Roman"/>
          <w:b w:val="0"/>
          <w:i w:val="0"/>
          <w:sz w:val="24"/>
        </w:rPr>
        <w:t>A revisão da paleta (Seção 4.2) utiliza as cores como signifiers, isto é, como elementos que comunicam significado para além da estética:</w:t>
      </w:r>
    </w:p>
    <w:p>
      <w:pPr>
        <w:pStyle w:val="ListBullet"/>
        <w:spacing w:line="360" w:lineRule="auto" w:after="80"/>
        <w:jc w:val="both"/>
      </w:pPr>
      <w:r>
        <w:rPr>
          <w:rFonts w:ascii="Times New Roman" w:hAnsi="Times New Roman"/>
          <w:sz w:val="24"/>
        </w:rPr>
        <w:t>Verde (#28A745) para confirmar e sinalizar sucesso: botões Salvar, Cadastrar e toasts de confirmação;</w:t>
      </w:r>
    </w:p>
    <w:p>
      <w:pPr>
        <w:pStyle w:val="ListBullet"/>
        <w:spacing w:line="360" w:lineRule="auto" w:after="80"/>
        <w:jc w:val="both"/>
      </w:pPr>
      <w:r>
        <w:rPr>
          <w:rFonts w:ascii="Times New Roman" w:hAnsi="Times New Roman"/>
          <w:sz w:val="24"/>
        </w:rPr>
        <w:t>Vermelho (#E03C3C) para ações destrutivas e alertas: botão Excluir, preços em destaque, mensagens de erro;</w:t>
      </w:r>
    </w:p>
    <w:p>
      <w:pPr>
        <w:pStyle w:val="ListBullet"/>
        <w:spacing w:line="360" w:lineRule="auto" w:after="80"/>
        <w:jc w:val="both"/>
      </w:pPr>
      <w:r>
        <w:rPr>
          <w:rFonts w:ascii="Times New Roman" w:hAnsi="Times New Roman"/>
          <w:sz w:val="24"/>
        </w:rPr>
        <w:t>Roxo (#7C3AED) para ações primárias e elementos de navegação: botão de ação principal, links do header e estados ativos;</w:t>
      </w:r>
    </w:p>
    <w:p>
      <w:pPr>
        <w:pStyle w:val="ListBullet"/>
        <w:spacing w:line="360" w:lineRule="auto" w:after="80"/>
        <w:jc w:val="both"/>
      </w:pPr>
      <w:r>
        <w:rPr>
          <w:rFonts w:ascii="Times New Roman" w:hAnsi="Times New Roman"/>
          <w:sz w:val="24"/>
        </w:rPr>
        <w:t>Amarelo (#F5A623) para avisos e destaques: alertas de preço fora da faixa, estrelas de avaliação, badges de destaque.</w:t>
      </w:r>
    </w:p>
    <w:p>
      <w:pPr>
        <w:spacing w:line="360" w:lineRule="auto" w:before="0" w:after="120"/>
        <w:ind w:firstLine="709"/>
        <w:jc w:val="both"/>
      </w:pPr>
      <w:r>
        <w:rPr>
          <w:rFonts w:ascii="Times New Roman" w:hAnsi="Times New Roman"/>
          <w:b w:val="0"/>
          <w:i w:val="0"/>
          <w:sz w:val="24"/>
        </w:rPr>
        <w:t>Essa codificação cromática se apoia no princípio de mapeamento natural (Norman, 2013): vermelho e verde carregam significados culturalmente estabelecidos (perigo/parar e seguro/prosseguir), o que reduz a carga cognitiva e acelera o reconhecimento das funções.</w:t>
      </w:r>
    </w:p>
    <w:p>
      <w:pPr>
        <w:pStyle w:val="Heading2"/>
        <w:spacing w:before="240" w:after="160"/>
        <w:jc w:val="left"/>
      </w:pPr>
      <w:r>
        <w:rPr>
          <w:rFonts w:ascii="Times New Roman" w:hAnsi="Times New Roman"/>
          <w:color w:val="000000"/>
          <w:sz w:val="24"/>
        </w:rPr>
        <w:t>5.3 Interface</w:t>
      </w:r>
    </w:p>
    <w:p>
      <w:pPr>
        <w:pStyle w:val="Heading3"/>
        <w:spacing w:before="240" w:after="160"/>
        <w:jc w:val="left"/>
      </w:pPr>
      <w:r>
        <w:rPr>
          <w:rFonts w:ascii="Times New Roman" w:hAnsi="Times New Roman"/>
          <w:color w:val="000000"/>
          <w:sz w:val="24"/>
        </w:rPr>
        <w:t>5.3.1 Consistência visual e semântica</w:t>
      </w:r>
    </w:p>
    <w:p>
      <w:pPr>
        <w:spacing w:line="360" w:lineRule="auto" w:before="0" w:after="120"/>
        <w:ind w:firstLine="709"/>
        <w:jc w:val="both"/>
      </w:pPr>
      <w:r>
        <w:rPr>
          <w:rFonts w:ascii="Times New Roman" w:hAnsi="Times New Roman"/>
          <w:b w:val="0"/>
          <w:i w:val="0"/>
          <w:sz w:val="24"/>
        </w:rPr>
        <w:t>A padronização tipográfica (Seção 4.1) e a correção do contraste (Seção 4.2) garantem consistência visual em toda a aplicação. Os elementos seguem um pequeno Design System, definido a partir de tokens CSS:</w:t>
      </w:r>
    </w:p>
    <w:p>
      <w:pPr>
        <w:pStyle w:val="ListBullet"/>
        <w:spacing w:line="360" w:lineRule="auto" w:after="80"/>
        <w:jc w:val="both"/>
      </w:pPr>
      <w:r>
        <w:rPr>
          <w:rFonts w:ascii="Times New Roman" w:hAnsi="Times New Roman"/>
          <w:sz w:val="24"/>
        </w:rPr>
        <w:t>A fonte Poppins é adotada em todos os contextos, com hierarquia de pesos estável;</w:t>
      </w:r>
    </w:p>
    <w:p>
      <w:pPr>
        <w:pStyle w:val="ListBullet"/>
        <w:spacing w:line="360" w:lineRule="auto" w:after="80"/>
        <w:jc w:val="both"/>
      </w:pPr>
      <w:r>
        <w:rPr>
          <w:rFonts w:ascii="Times New Roman" w:hAnsi="Times New Roman"/>
          <w:sz w:val="24"/>
        </w:rPr>
        <w:t>O esquema de cores se repete em todos os componentes: botões primários sempre roxos, ações destrutivas sempre vermelhas e feedback de sucesso sempre verde;</w:t>
      </w:r>
    </w:p>
    <w:p>
      <w:pPr>
        <w:pStyle w:val="ListBullet"/>
        <w:spacing w:line="360" w:lineRule="auto" w:after="80"/>
        <w:jc w:val="both"/>
      </w:pPr>
      <w:r>
        <w:rPr>
          <w:rFonts w:ascii="Times New Roman" w:hAnsi="Times New Roman"/>
          <w:sz w:val="24"/>
        </w:rPr>
        <w:t>Os espaçamentos obedecem a um grid de 8px (8px, 16px, 24px, 32px), produzindo ritmo visual uniforme;</w:t>
      </w:r>
    </w:p>
    <w:p>
      <w:pPr>
        <w:pStyle w:val="ListBullet"/>
        <w:spacing w:line="360" w:lineRule="auto" w:after="80"/>
        <w:jc w:val="both"/>
      </w:pPr>
      <w:r>
        <w:rPr>
          <w:rFonts w:ascii="Times New Roman" w:hAnsi="Times New Roman"/>
          <w:sz w:val="24"/>
        </w:rPr>
        <w:t>Os componentes reutilizáveis (cards, modais, toasts e formulários) possuem aparência e comportamento idênticos em todas as páginas.</w:t>
      </w:r>
    </w:p>
    <w:p>
      <w:pPr>
        <w:spacing w:line="360" w:lineRule="auto" w:before="0" w:after="120"/>
        <w:ind w:firstLine="709"/>
        <w:jc w:val="both"/>
      </w:pPr>
      <w:r>
        <w:rPr>
          <w:rFonts w:ascii="Times New Roman" w:hAnsi="Times New Roman"/>
          <w:b w:val="0"/>
          <w:i w:val="0"/>
          <w:sz w:val="24"/>
        </w:rPr>
        <w:t>Essa consistência responde à Heurística 4 de Nielsen (1994) — consistência e padrões —, que postula que usuários não deveriam precisar se perguntar se palavras, situações ou ações diferentes significam a mesma coisa.</w:t>
      </w:r>
    </w:p>
    <w:p>
      <w:pPr>
        <w:pStyle w:val="Heading3"/>
        <w:spacing w:before="240" w:after="160"/>
        <w:jc w:val="left"/>
      </w:pPr>
      <w:r>
        <w:rPr>
          <w:rFonts w:ascii="Times New Roman" w:hAnsi="Times New Roman"/>
          <w:color w:val="000000"/>
          <w:sz w:val="24"/>
        </w:rPr>
        <w:t>5.3.2 Organização lógica e hierarquia visual</w:t>
      </w:r>
    </w:p>
    <w:p>
      <w:pPr>
        <w:spacing w:line="360" w:lineRule="auto" w:before="0" w:after="120"/>
        <w:ind w:firstLine="709"/>
        <w:jc w:val="both"/>
      </w:pPr>
      <w:r>
        <w:rPr>
          <w:rFonts w:ascii="Times New Roman" w:hAnsi="Times New Roman"/>
          <w:b w:val="0"/>
          <w:i w:val="0"/>
          <w:sz w:val="24"/>
        </w:rPr>
        <w:t>A reformulação da home (Seção 4.9) implementa uma hierarquia visual em três níveis:</w:t>
      </w:r>
    </w:p>
    <w:p>
      <w:pPr>
        <w:pStyle w:val="ListBullet"/>
        <w:spacing w:line="360" w:lineRule="auto" w:after="80"/>
        <w:jc w:val="both"/>
      </w:pPr>
      <w:r>
        <w:rPr>
          <w:rFonts w:ascii="Times New Roman" w:hAnsi="Times New Roman"/>
          <w:sz w:val="24"/>
        </w:rPr>
        <w:t>Nível 1 — destaque máximo: carrossel de destaques no topo, com imagens grandes ocupando 100% da largura;</w:t>
      </w:r>
    </w:p>
    <w:p>
      <w:pPr>
        <w:pStyle w:val="ListBullet"/>
        <w:spacing w:line="360" w:lineRule="auto" w:after="80"/>
        <w:jc w:val="both"/>
      </w:pPr>
      <w:r>
        <w:rPr>
          <w:rFonts w:ascii="Times New Roman" w:hAnsi="Times New Roman"/>
          <w:sz w:val="24"/>
        </w:rPr>
        <w:t>Nível 2 — ações principais: cards grandes de Comparar Preços, Minha Lista e Mercados Próximos, posicionados logo abaixo do carrossel;</w:t>
      </w:r>
    </w:p>
    <w:p>
      <w:pPr>
        <w:pStyle w:val="ListBullet"/>
        <w:spacing w:line="360" w:lineRule="auto" w:after="80"/>
        <w:jc w:val="both"/>
      </w:pPr>
      <w:r>
        <w:rPr>
          <w:rFonts w:ascii="Times New Roman" w:hAnsi="Times New Roman"/>
          <w:sz w:val="24"/>
        </w:rPr>
        <w:t>Nível 3 — ações secundárias: cards menores de Ranking, Mapa e demais funcionalidades, dispostos na sequência, ainda disponíveis mas sem competir pela atenção inicial.</w:t>
      </w:r>
    </w:p>
    <w:p>
      <w:pPr>
        <w:spacing w:line="360" w:lineRule="auto" w:before="0" w:after="120"/>
        <w:ind w:firstLine="709"/>
        <w:jc w:val="both"/>
      </w:pPr>
      <w:r>
        <w:rPr>
          <w:rFonts w:ascii="Times New Roman" w:hAnsi="Times New Roman"/>
          <w:b w:val="0"/>
          <w:i w:val="0"/>
          <w:sz w:val="24"/>
        </w:rPr>
        <w:t>Essa organização dialoga com a Lei de Fitts e com o princípio de proximidade da Gestalt: elementos relacionados ficam visualmente próximos, e as ações mais relevantes são maiores e estão mais perto do ponto inicial de atenção do usuário.</w:t>
      </w:r>
    </w:p>
    <w:p>
      <w:pPr>
        <w:pStyle w:val="Heading3"/>
        <w:spacing w:before="240" w:after="160"/>
        <w:jc w:val="left"/>
      </w:pPr>
      <w:r>
        <w:rPr>
          <w:rFonts w:ascii="Times New Roman" w:hAnsi="Times New Roman"/>
          <w:color w:val="000000"/>
          <w:sz w:val="24"/>
        </w:rPr>
        <w:t>5.3.3 Padrões de design reconhecíveis</w:t>
      </w:r>
    </w:p>
    <w:p>
      <w:pPr>
        <w:spacing w:line="360" w:lineRule="auto" w:before="0" w:after="120"/>
        <w:ind w:firstLine="709"/>
        <w:jc w:val="both"/>
      </w:pPr>
      <w:r>
        <w:rPr>
          <w:rFonts w:ascii="Times New Roman" w:hAnsi="Times New Roman"/>
          <w:b w:val="0"/>
          <w:i w:val="0"/>
          <w:sz w:val="24"/>
        </w:rPr>
        <w:t>As melhorias adotam convenções de UI já consolidadas no repertório dos usuários:</w:t>
      </w:r>
    </w:p>
    <w:p>
      <w:pPr>
        <w:pStyle w:val="ListBullet"/>
        <w:spacing w:line="360" w:lineRule="auto" w:after="80"/>
        <w:jc w:val="both"/>
      </w:pPr>
      <w:r>
        <w:rPr>
          <w:rFonts w:ascii="Times New Roman" w:hAnsi="Times New Roman"/>
          <w:sz w:val="24"/>
        </w:rPr>
        <w:t>Login em layout split-screen, com formulário à esquerda e imagem à direita, padrão comum em aplicações web modernas;</w:t>
      </w:r>
    </w:p>
    <w:p>
      <w:pPr>
        <w:pStyle w:val="ListBullet"/>
        <w:spacing w:line="360" w:lineRule="auto" w:after="80"/>
        <w:jc w:val="both"/>
      </w:pPr>
      <w:r>
        <w:rPr>
          <w:rFonts w:ascii="Times New Roman" w:hAnsi="Times New Roman"/>
          <w:sz w:val="24"/>
        </w:rPr>
        <w:t>Menu hamburger para navegação em telas móveis, convenção universal em interfaces compactas;</w:t>
      </w:r>
    </w:p>
    <w:p>
      <w:pPr>
        <w:pStyle w:val="ListBullet"/>
        <w:spacing w:line="360" w:lineRule="auto" w:after="80"/>
        <w:jc w:val="both"/>
      </w:pPr>
      <w:r>
        <w:rPr>
          <w:rFonts w:ascii="Times New Roman" w:hAnsi="Times New Roman"/>
          <w:sz w:val="24"/>
        </w:rPr>
        <w:t>Sistema de estrelas de 1 a 5 para avaliações, padrão estabelecido em plataformas como Google Maps e Amazon;</w:t>
      </w:r>
    </w:p>
    <w:p>
      <w:pPr>
        <w:pStyle w:val="ListBullet"/>
        <w:spacing w:line="360" w:lineRule="auto" w:after="80"/>
        <w:jc w:val="both"/>
      </w:pPr>
      <w:r>
        <w:rPr>
          <w:rFonts w:ascii="Times New Roman" w:hAnsi="Times New Roman"/>
          <w:sz w:val="24"/>
        </w:rPr>
        <w:t>Campo de busca com ícone de lupa no canto superior, em posição e iconografia familiares aos usuários da web;</w:t>
      </w:r>
    </w:p>
    <w:p>
      <w:pPr>
        <w:pStyle w:val="ListBullet"/>
        <w:spacing w:line="360" w:lineRule="auto" w:after="80"/>
        <w:jc w:val="both"/>
      </w:pPr>
      <w:r>
        <w:rPr>
          <w:rFonts w:ascii="Times New Roman" w:hAnsi="Times New Roman"/>
          <w:sz w:val="24"/>
        </w:rPr>
        <w:t>Botão de ação flutuante (FAB) para ação primária no mobile, convenção consagrada pelo Material Design.</w:t>
      </w:r>
    </w:p>
    <w:p>
      <w:pPr>
        <w:pStyle w:val="Heading2"/>
        <w:spacing w:before="240" w:after="160"/>
        <w:jc w:val="left"/>
      </w:pPr>
      <w:r>
        <w:rPr>
          <w:rFonts w:ascii="Times New Roman" w:hAnsi="Times New Roman"/>
          <w:color w:val="000000"/>
          <w:sz w:val="24"/>
        </w:rPr>
        <w:t>5.4 Qualidade de Uso</w:t>
      </w:r>
    </w:p>
    <w:p>
      <w:pPr>
        <w:pStyle w:val="Heading3"/>
        <w:spacing w:before="240" w:after="160"/>
        <w:jc w:val="left"/>
      </w:pPr>
      <w:r>
        <w:rPr>
          <w:rFonts w:ascii="Times New Roman" w:hAnsi="Times New Roman"/>
          <w:color w:val="000000"/>
          <w:sz w:val="24"/>
        </w:rPr>
        <w:t>5.4.1 Eficiência</w:t>
      </w:r>
    </w:p>
    <w:p>
      <w:pPr>
        <w:spacing w:line="360" w:lineRule="auto" w:before="0" w:after="120"/>
        <w:ind w:firstLine="709"/>
        <w:jc w:val="both"/>
      </w:pPr>
      <w:r>
        <w:rPr>
          <w:rFonts w:ascii="Times New Roman" w:hAnsi="Times New Roman"/>
          <w:b w:val="0"/>
          <w:i w:val="0"/>
          <w:sz w:val="24"/>
        </w:rPr>
        <w:t>Eficiência refere-se ao número mínimo de ações necessário para completar uma tarefa. As melhorias reduzem significativamente o esforço do usuário:</w:t>
      </w:r>
    </w:p>
    <w:p>
      <w:pPr>
        <w:pStyle w:val="ListBullet"/>
        <w:spacing w:line="360" w:lineRule="auto" w:after="80"/>
        <w:jc w:val="both"/>
      </w:pPr>
      <w:r>
        <w:rPr>
          <w:rFonts w:ascii="Times New Roman" w:hAnsi="Times New Roman"/>
          <w:sz w:val="24"/>
        </w:rPr>
        <w:t>O campo de preço com máscara automática (Seção 4.7) faz com que o usuário digite apenas os números (“1599”), enquanto o sistema formata para “R$ 15,99”. A tarefa, que envolvia mais de seis ações (incluindo digitar “R$”, vírgula e posicionar o cursor), reduz-se a quatro dígitos;</w:t>
      </w:r>
    </w:p>
    <w:p>
      <w:pPr>
        <w:pStyle w:val="ListBullet"/>
        <w:spacing w:line="360" w:lineRule="auto" w:after="80"/>
        <w:jc w:val="both"/>
      </w:pPr>
      <w:r>
        <w:rPr>
          <w:rFonts w:ascii="Times New Roman" w:hAnsi="Times New Roman"/>
          <w:sz w:val="24"/>
        </w:rPr>
        <w:t>A geolocalização automática no mapa (Seção 4.4) elimina a etapa manual de procurar a própria localização, economizando três ou quatro interações (abrir busca, digitar cidade, selecionar, confirmar);</w:t>
      </w:r>
    </w:p>
    <w:p>
      <w:pPr>
        <w:pStyle w:val="ListBullet"/>
        <w:spacing w:line="360" w:lineRule="auto" w:after="80"/>
        <w:jc w:val="both"/>
      </w:pPr>
      <w:r>
        <w:rPr>
          <w:rFonts w:ascii="Times New Roman" w:hAnsi="Times New Roman"/>
          <w:sz w:val="24"/>
        </w:rPr>
        <w:t>O leitor de código de barras pela câmera (Seção 4.6) permite que apontar para o produto preencha sozinho nome, marca e categoria, suprimindo a digitação de três campos;</w:t>
      </w:r>
    </w:p>
    <w:p>
      <w:pPr>
        <w:pStyle w:val="ListBullet"/>
        <w:spacing w:line="360" w:lineRule="auto" w:after="80"/>
        <w:jc w:val="both"/>
      </w:pPr>
      <w:r>
        <w:rPr>
          <w:rFonts w:ascii="Times New Roman" w:hAnsi="Times New Roman"/>
          <w:sz w:val="24"/>
        </w:rPr>
        <w:t>O botão “Ver detalhes” no popup do mapa (Seção 4.4) reduz a chegada à página do mercado a um único clique, contra os três ou mais necessários no fluxo de navegação tradicional.</w:t>
      </w:r>
    </w:p>
    <w:p>
      <w:pPr>
        <w:pStyle w:val="Heading3"/>
        <w:spacing w:before="240" w:after="160"/>
        <w:jc w:val="left"/>
      </w:pPr>
      <w:r>
        <w:rPr>
          <w:rFonts w:ascii="Times New Roman" w:hAnsi="Times New Roman"/>
          <w:color w:val="000000"/>
          <w:sz w:val="24"/>
        </w:rPr>
        <w:t>5.4.2 Eficácia</w:t>
      </w:r>
    </w:p>
    <w:p>
      <w:pPr>
        <w:spacing w:line="360" w:lineRule="auto" w:before="0" w:after="120"/>
        <w:ind w:firstLine="709"/>
        <w:jc w:val="both"/>
      </w:pPr>
      <w:r>
        <w:rPr>
          <w:rFonts w:ascii="Times New Roman" w:hAnsi="Times New Roman"/>
          <w:b w:val="0"/>
          <w:i w:val="0"/>
          <w:sz w:val="24"/>
        </w:rPr>
        <w:t>Eficácia diz respeito à capacidade de o usuário concluir tarefas corretamente. As melhorias retiram ambiguidades e fontes de erro:</w:t>
      </w:r>
    </w:p>
    <w:p>
      <w:pPr>
        <w:pStyle w:val="ListBullet"/>
        <w:spacing w:line="360" w:lineRule="auto" w:after="80"/>
        <w:jc w:val="both"/>
      </w:pPr>
      <w:r>
        <w:rPr>
          <w:rFonts w:ascii="Times New Roman" w:hAnsi="Times New Roman"/>
          <w:sz w:val="24"/>
        </w:rPr>
        <w:t>A separação de perfis (Seção 4.5) elimina o risco de consumidores cadastrarem preços por engano. A tarefa “informar preço” passa a ser executada apenas por quem tem legitimidade (comerciante verificado);</w:t>
      </w:r>
    </w:p>
    <w:p>
      <w:pPr>
        <w:pStyle w:val="ListBullet"/>
        <w:spacing w:line="360" w:lineRule="auto" w:after="80"/>
        <w:jc w:val="both"/>
      </w:pPr>
      <w:r>
        <w:rPr>
          <w:rFonts w:ascii="Times New Roman" w:hAnsi="Times New Roman"/>
          <w:sz w:val="24"/>
        </w:rPr>
        <w:t>A validação por faixa de preço (Seção 4.6) interrompe o fluxo quando um valor incoerente é informado, dando ao usuário a chance de corrigir antes de gravar dados inválidos;</w:t>
      </w:r>
    </w:p>
    <w:p>
      <w:pPr>
        <w:pStyle w:val="ListBullet"/>
        <w:spacing w:line="360" w:lineRule="auto" w:after="80"/>
        <w:jc w:val="both"/>
      </w:pPr>
      <w:r>
        <w:rPr>
          <w:rFonts w:ascii="Times New Roman" w:hAnsi="Times New Roman"/>
          <w:sz w:val="24"/>
        </w:rPr>
        <w:t>A máscara monetária, aceitando vírgula e ponto (Seção 4.7), elimina os erros de formato que antes provocavam falhas no salvamento.</w:t>
      </w:r>
    </w:p>
    <w:p>
      <w:pPr>
        <w:pStyle w:val="Heading3"/>
        <w:spacing w:before="240" w:after="160"/>
        <w:jc w:val="left"/>
      </w:pPr>
      <w:r>
        <w:rPr>
          <w:rFonts w:ascii="Times New Roman" w:hAnsi="Times New Roman"/>
          <w:color w:val="000000"/>
          <w:sz w:val="24"/>
        </w:rPr>
        <w:t>5.4.3 Satisfação</w:t>
      </w:r>
    </w:p>
    <w:p>
      <w:pPr>
        <w:spacing w:line="360" w:lineRule="auto" w:before="0" w:after="120"/>
        <w:ind w:firstLine="709"/>
        <w:jc w:val="both"/>
      </w:pPr>
      <w:r>
        <w:rPr>
          <w:rFonts w:ascii="Times New Roman" w:hAnsi="Times New Roman"/>
          <w:b w:val="0"/>
          <w:i w:val="0"/>
          <w:sz w:val="24"/>
        </w:rPr>
        <w:t>Satisfação trata da experiência ser fluida, agradável e livre de frustrações:</w:t>
      </w:r>
    </w:p>
    <w:p>
      <w:pPr>
        <w:pStyle w:val="ListBullet"/>
        <w:spacing w:line="360" w:lineRule="auto" w:after="80"/>
        <w:jc w:val="both"/>
      </w:pPr>
      <w:r>
        <w:rPr>
          <w:rFonts w:ascii="Times New Roman" w:hAnsi="Times New Roman"/>
          <w:sz w:val="24"/>
        </w:rPr>
        <w:t>A tipografia legível (Seção 4.1) resolve a queixa relacionada à leitura, sobretudo entre usuários com baixa visão;</w:t>
      </w:r>
    </w:p>
    <w:p>
      <w:pPr>
        <w:pStyle w:val="ListBullet"/>
        <w:spacing w:line="360" w:lineRule="auto" w:after="80"/>
        <w:jc w:val="both"/>
      </w:pPr>
      <w:r>
        <w:rPr>
          <w:rFonts w:ascii="Times New Roman" w:hAnsi="Times New Roman"/>
          <w:sz w:val="24"/>
        </w:rPr>
        <w:t>O contraste adequado (Seção 4.2) elimina o desconforto de “não conseguir enxergar” o texto, tornando a leitura confortável em diferentes condições de iluminação;</w:t>
      </w:r>
    </w:p>
    <w:p>
      <w:pPr>
        <w:pStyle w:val="ListBullet"/>
        <w:spacing w:line="360" w:lineRule="auto" w:after="80"/>
        <w:jc w:val="both"/>
      </w:pPr>
      <w:r>
        <w:rPr>
          <w:rFonts w:ascii="Times New Roman" w:hAnsi="Times New Roman"/>
          <w:sz w:val="24"/>
        </w:rPr>
        <w:t>A home redesenhada (Seção 4.9) substitui a sensação de tela vazia por uma proposta visual orientada e hierarquizada;</w:t>
      </w:r>
    </w:p>
    <w:p>
      <w:pPr>
        <w:pStyle w:val="ListBullet"/>
        <w:spacing w:line="360" w:lineRule="auto" w:after="80"/>
        <w:jc w:val="both"/>
      </w:pPr>
      <w:r>
        <w:rPr>
          <w:rFonts w:ascii="Times New Roman" w:hAnsi="Times New Roman"/>
          <w:sz w:val="24"/>
        </w:rPr>
        <w:t>Os feedbacks visuais a cada ação (toasts, spinners e animações) reduzem a ansiedade do usuário e reforçam sua confiança na plataforma.</w:t>
      </w:r>
    </w:p>
    <w:p>
      <w:pPr>
        <w:pStyle w:val="Heading3"/>
        <w:spacing w:before="240" w:after="160"/>
        <w:jc w:val="left"/>
      </w:pPr>
      <w:r>
        <w:rPr>
          <w:rFonts w:ascii="Times New Roman" w:hAnsi="Times New Roman"/>
          <w:color w:val="000000"/>
          <w:sz w:val="24"/>
        </w:rPr>
        <w:t>5.4.4 Acessibilidade</w:t>
      </w:r>
    </w:p>
    <w:p>
      <w:pPr>
        <w:spacing w:line="360" w:lineRule="auto" w:before="0" w:after="120"/>
        <w:ind w:firstLine="709"/>
        <w:jc w:val="both"/>
      </w:pPr>
      <w:r>
        <w:rPr>
          <w:rFonts w:ascii="Times New Roman" w:hAnsi="Times New Roman"/>
          <w:b w:val="0"/>
          <w:i w:val="0"/>
          <w:sz w:val="24"/>
        </w:rPr>
        <w:t>As ações voltadas à acessibilidade seguem as diretrizes da WCAG 2.1, com foco nos níveis AA e AAA. Esse foco se justifica pelo perfil heterogêneo do público-alvo, que inclui usuários idosos e pessoas com limitações visuais:</w:t>
      </w:r>
    </w:p>
    <w:p>
      <w:pPr>
        <w:pStyle w:val="ListBullet"/>
        <w:spacing w:line="360" w:lineRule="auto" w:after="80"/>
        <w:jc w:val="both"/>
      </w:pPr>
      <w:r>
        <w:rPr>
          <w:rFonts w:ascii="Times New Roman" w:hAnsi="Times New Roman"/>
          <w:sz w:val="24"/>
        </w:rPr>
        <w:t>Contraste de cores (Seção 4.2): razão mínima de 7:1 para texto normal e 4,5:1 para texto grande, atendendo ao nível AAA da WCAG 2.1, critério 1.4.6;</w:t>
      </w:r>
    </w:p>
    <w:p>
      <w:pPr>
        <w:pStyle w:val="ListBullet"/>
        <w:spacing w:line="360" w:lineRule="auto" w:after="80"/>
        <w:jc w:val="both"/>
      </w:pPr>
      <w:r>
        <w:rPr>
          <w:rFonts w:ascii="Times New Roman" w:hAnsi="Times New Roman"/>
          <w:sz w:val="24"/>
        </w:rPr>
        <w:t>Responsividade completa (Seção 4.10): layout adaptável de 320px a 1920px, em conformidade com o critério 1.4.10 (Reflow), que assegura acessibilidade do conteúdo sem rolagem horizontal em telas pequenas;</w:t>
      </w:r>
    </w:p>
    <w:p>
      <w:pPr>
        <w:pStyle w:val="ListBullet"/>
        <w:spacing w:line="360" w:lineRule="auto" w:after="80"/>
        <w:jc w:val="both"/>
      </w:pPr>
      <w:r>
        <w:rPr>
          <w:rFonts w:ascii="Times New Roman" w:hAnsi="Times New Roman"/>
          <w:sz w:val="24"/>
        </w:rPr>
        <w:t>Navegação por teclado: todos os elementos interativos respondem a Tab e Shift+Tab, com indicadores visuais de foco (outline roxo de 2px), em atendimento ao critério 2.1.1 (Keyboard);</w:t>
      </w:r>
    </w:p>
    <w:p>
      <w:pPr>
        <w:pStyle w:val="ListBullet"/>
        <w:spacing w:line="360" w:lineRule="auto" w:after="80"/>
        <w:jc w:val="both"/>
      </w:pPr>
      <w:r>
        <w:rPr>
          <w:rFonts w:ascii="Times New Roman" w:hAnsi="Times New Roman"/>
          <w:sz w:val="24"/>
        </w:rPr>
        <w:t>Textos alternativos em todas as imagens de produtos e em capturas de tela, conforme o critério 1.1.1 (Non-text Content);</w:t>
      </w:r>
    </w:p>
    <w:p>
      <w:pPr>
        <w:pStyle w:val="ListBullet"/>
        <w:spacing w:line="360" w:lineRule="auto" w:after="80"/>
        <w:jc w:val="both"/>
      </w:pPr>
      <w:r>
        <w:rPr>
          <w:rFonts w:ascii="Times New Roman" w:hAnsi="Times New Roman"/>
          <w:sz w:val="24"/>
        </w:rPr>
        <w:t>Atributos ARIA nos componentes dinâmicos — modais (role=“dialog”, aria-modal), toasts (role=“alert”) e menus (aria-expanded) —, garantindo compatibilidade com leitores de tela.</w:t>
      </w:r>
    </w:p>
    <w:p>
      <w:r>
        <w:br w:type="page"/>
      </w:r>
    </w:p>
    <w:p>
      <w:pPr>
        <w:pStyle w:val="Heading1"/>
        <w:spacing w:before="360" w:after="160"/>
        <w:jc w:val="left"/>
      </w:pPr>
      <w:r>
        <w:rPr>
          <w:rFonts w:ascii="Times New Roman" w:hAnsi="Times New Roman"/>
          <w:color w:val="000000"/>
          <w:sz w:val="28"/>
        </w:rPr>
        <w:t>6 QUADRO RESUMO – MELHORIAS E CONCEITOS APLICADOS</w:t>
      </w:r>
    </w:p>
    <w:p>
      <w:pPr>
        <w:spacing w:line="360" w:lineRule="auto" w:before="0" w:after="120"/>
        <w:ind w:firstLine="709"/>
        <w:jc w:val="both"/>
      </w:pPr>
      <w:r>
        <w:rPr>
          <w:rFonts w:ascii="Times New Roman" w:hAnsi="Times New Roman"/>
          <w:b w:val="0"/>
          <w:i w:val="0"/>
          <w:sz w:val="24"/>
        </w:rPr>
        <w:t>O quadro a seguir sintetiza a relação entre cada melhoria documentada na Parte 1 e os conceitos-chave de IHC aplicados na Parte 2. A leitura do quadro confirma que as quatro dimensões — interação, affordance, interface e qualidade de uso — foram contempladas ao longo do projeto, evitando o predomínio isolado de um único aspecto.</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3118"/>
            <w:vAlign w:val="center"/>
          </w:tcPr>
          <w:p>
            <w:pPr>
              <w:spacing w:after="0"/>
              <w:jc w:val="left"/>
            </w:pPr>
            <w:r>
              <w:rPr>
                <w:rFonts w:ascii="Times New Roman" w:hAnsi="Times New Roman"/>
                <w:b/>
                <w:sz w:val="20"/>
              </w:rPr>
              <w:t>Melhoria</w:t>
            </w:r>
          </w:p>
        </w:tc>
        <w:tc>
          <w:tcPr>
            <w:tcW w:type="dxa" w:w="1134"/>
            <w:vAlign w:val="center"/>
          </w:tcPr>
          <w:p>
            <w:pPr>
              <w:spacing w:after="0"/>
              <w:jc w:val="center"/>
            </w:pPr>
            <w:r>
              <w:rPr>
                <w:rFonts w:ascii="Times New Roman" w:hAnsi="Times New Roman"/>
                <w:b/>
                <w:sz w:val="20"/>
              </w:rPr>
              <w:t>Interação</w:t>
            </w:r>
          </w:p>
        </w:tc>
        <w:tc>
          <w:tcPr>
            <w:tcW w:type="dxa" w:w="1134"/>
            <w:vAlign w:val="center"/>
          </w:tcPr>
          <w:p>
            <w:pPr>
              <w:spacing w:after="0"/>
              <w:jc w:val="center"/>
            </w:pPr>
            <w:r>
              <w:rPr>
                <w:rFonts w:ascii="Times New Roman" w:hAnsi="Times New Roman"/>
                <w:b/>
                <w:sz w:val="20"/>
              </w:rPr>
              <w:t>Affordance</w:t>
            </w:r>
          </w:p>
        </w:tc>
        <w:tc>
          <w:tcPr>
            <w:tcW w:type="dxa" w:w="1134"/>
            <w:vAlign w:val="center"/>
          </w:tcPr>
          <w:p>
            <w:pPr>
              <w:spacing w:after="0"/>
              <w:jc w:val="center"/>
            </w:pPr>
            <w:r>
              <w:rPr>
                <w:rFonts w:ascii="Times New Roman" w:hAnsi="Times New Roman"/>
                <w:b/>
                <w:sz w:val="20"/>
              </w:rPr>
              <w:t>Interface</w:t>
            </w:r>
          </w:p>
        </w:tc>
        <w:tc>
          <w:tcPr>
            <w:tcW w:type="dxa" w:w="2268"/>
            <w:vAlign w:val="center"/>
          </w:tcPr>
          <w:p>
            <w:pPr>
              <w:spacing w:after="0"/>
              <w:jc w:val="center"/>
            </w:pPr>
            <w:r>
              <w:rPr>
                <w:rFonts w:ascii="Times New Roman" w:hAnsi="Times New Roman"/>
                <w:b/>
                <w:sz w:val="20"/>
              </w:rPr>
              <w:t>Qualidade de Uso</w:t>
            </w:r>
          </w:p>
        </w:tc>
      </w:tr>
      <w:tr>
        <w:tc>
          <w:tcPr>
            <w:tcW w:type="dxa" w:w="3118"/>
            <w:vAlign w:val="center"/>
          </w:tcPr>
          <w:p>
            <w:pPr>
              <w:spacing w:after="0"/>
              <w:jc w:val="left"/>
            </w:pPr>
            <w:r>
              <w:rPr>
                <w:rFonts w:ascii="Times New Roman" w:hAnsi="Times New Roman"/>
                <w:sz w:val="20"/>
              </w:rPr>
              <w:t>4.1 Tipografia e legibilidade</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Satisfação, Acessibilidade</w:t>
            </w:r>
          </w:p>
        </w:tc>
      </w:tr>
      <w:tr>
        <w:tc>
          <w:tcPr>
            <w:tcW w:type="dxa" w:w="3118"/>
            <w:vAlign w:val="center"/>
          </w:tcPr>
          <w:p>
            <w:pPr>
              <w:spacing w:after="0"/>
              <w:jc w:val="left"/>
            </w:pPr>
            <w:r>
              <w:rPr>
                <w:rFonts w:ascii="Times New Roman" w:hAnsi="Times New Roman"/>
                <w:sz w:val="20"/>
              </w:rPr>
              <w:t>4.2 Contraste e cores</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Satisfação, Acessibilidade</w:t>
            </w:r>
          </w:p>
        </w:tc>
      </w:tr>
      <w:tr>
        <w:tc>
          <w:tcPr>
            <w:tcW w:type="dxa" w:w="3118"/>
            <w:vAlign w:val="center"/>
          </w:tcPr>
          <w:p>
            <w:pPr>
              <w:spacing w:after="0"/>
              <w:jc w:val="left"/>
            </w:pPr>
            <w:r>
              <w:rPr>
                <w:rFonts w:ascii="Times New Roman" w:hAnsi="Times New Roman"/>
                <w:sz w:val="20"/>
              </w:rPr>
              <w:t>4.3 Navegação e botão Voltar</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Eficiência</w:t>
            </w:r>
          </w:p>
        </w:tc>
      </w:tr>
      <w:tr>
        <w:tc>
          <w:tcPr>
            <w:tcW w:type="dxa" w:w="3118"/>
            <w:vAlign w:val="center"/>
          </w:tcPr>
          <w:p>
            <w:pPr>
              <w:spacing w:after="0"/>
              <w:jc w:val="left"/>
            </w:pPr>
            <w:r>
              <w:rPr>
                <w:rFonts w:ascii="Times New Roman" w:hAnsi="Times New Roman"/>
                <w:sz w:val="20"/>
              </w:rPr>
              <w:t>4.4 Mapa interativo</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r>
          </w:p>
        </w:tc>
        <w:tc>
          <w:tcPr>
            <w:tcW w:type="dxa" w:w="2268"/>
            <w:vAlign w:val="center"/>
          </w:tcPr>
          <w:p>
            <w:pPr>
              <w:spacing w:after="0"/>
              <w:jc w:val="center"/>
            </w:pPr>
            <w:r>
              <w:rPr>
                <w:rFonts w:ascii="Times New Roman" w:hAnsi="Times New Roman"/>
                <w:sz w:val="20"/>
              </w:rPr>
              <w:t>Eficiência</w:t>
            </w:r>
          </w:p>
        </w:tc>
      </w:tr>
      <w:tr>
        <w:tc>
          <w:tcPr>
            <w:tcW w:type="dxa" w:w="3118"/>
            <w:vAlign w:val="center"/>
          </w:tcPr>
          <w:p>
            <w:pPr>
              <w:spacing w:after="0"/>
              <w:jc w:val="left"/>
            </w:pPr>
            <w:r>
              <w:rPr>
                <w:rFonts w:ascii="Times New Roman" w:hAnsi="Times New Roman"/>
                <w:sz w:val="20"/>
              </w:rPr>
              <w:t>4.5 Separação de perfis</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Eficácia</w:t>
            </w:r>
          </w:p>
        </w:tc>
      </w:tr>
      <w:tr>
        <w:tc>
          <w:tcPr>
            <w:tcW w:type="dxa" w:w="3118"/>
            <w:vAlign w:val="center"/>
          </w:tcPr>
          <w:p>
            <w:pPr>
              <w:spacing w:after="0"/>
              <w:jc w:val="left"/>
            </w:pPr>
            <w:r>
              <w:rPr>
                <w:rFonts w:ascii="Times New Roman" w:hAnsi="Times New Roman"/>
                <w:sz w:val="20"/>
              </w:rPr>
              <w:t>4.6 Validação anti-fraude</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r>
          </w:p>
        </w:tc>
        <w:tc>
          <w:tcPr>
            <w:tcW w:type="dxa" w:w="2268"/>
            <w:vAlign w:val="center"/>
          </w:tcPr>
          <w:p>
            <w:pPr>
              <w:spacing w:after="0"/>
              <w:jc w:val="center"/>
            </w:pPr>
            <w:r>
              <w:rPr>
                <w:rFonts w:ascii="Times New Roman" w:hAnsi="Times New Roman"/>
                <w:sz w:val="20"/>
              </w:rPr>
              <w:t>Eficácia</w:t>
            </w:r>
          </w:p>
        </w:tc>
      </w:tr>
      <w:tr>
        <w:tc>
          <w:tcPr>
            <w:tcW w:type="dxa" w:w="3118"/>
            <w:vAlign w:val="center"/>
          </w:tcPr>
          <w:p>
            <w:pPr>
              <w:spacing w:after="0"/>
              <w:jc w:val="left"/>
            </w:pPr>
            <w:r>
              <w:rPr>
                <w:rFonts w:ascii="Times New Roman" w:hAnsi="Times New Roman"/>
                <w:sz w:val="20"/>
              </w:rPr>
              <w:t>4.7 UX do formulário</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r>
          </w:p>
        </w:tc>
        <w:tc>
          <w:tcPr>
            <w:tcW w:type="dxa" w:w="2268"/>
            <w:vAlign w:val="center"/>
          </w:tcPr>
          <w:p>
            <w:pPr>
              <w:spacing w:after="0"/>
              <w:jc w:val="center"/>
            </w:pPr>
            <w:r>
              <w:rPr>
                <w:rFonts w:ascii="Times New Roman" w:hAnsi="Times New Roman"/>
                <w:sz w:val="20"/>
              </w:rPr>
              <w:t>Eficiência, Eficácia</w:t>
            </w:r>
          </w:p>
        </w:tc>
      </w:tr>
      <w:tr>
        <w:tc>
          <w:tcPr>
            <w:tcW w:type="dxa" w:w="3118"/>
            <w:vAlign w:val="center"/>
          </w:tcPr>
          <w:p>
            <w:pPr>
              <w:spacing w:after="0"/>
              <w:jc w:val="left"/>
            </w:pPr>
            <w:r>
              <w:rPr>
                <w:rFonts w:ascii="Times New Roman" w:hAnsi="Times New Roman"/>
                <w:sz w:val="20"/>
              </w:rPr>
              <w:t>4.8 Lista de compras</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r>
          </w:p>
        </w:tc>
        <w:tc>
          <w:tcPr>
            <w:tcW w:type="dxa" w:w="2268"/>
            <w:vAlign w:val="center"/>
          </w:tcPr>
          <w:p>
            <w:pPr>
              <w:spacing w:after="0"/>
              <w:jc w:val="center"/>
            </w:pPr>
            <w:r>
              <w:rPr>
                <w:rFonts w:ascii="Times New Roman" w:hAnsi="Times New Roman"/>
                <w:sz w:val="20"/>
              </w:rPr>
              <w:t>Eficiência</w:t>
            </w:r>
          </w:p>
        </w:tc>
      </w:tr>
      <w:tr>
        <w:tc>
          <w:tcPr>
            <w:tcW w:type="dxa" w:w="3118"/>
            <w:vAlign w:val="center"/>
          </w:tcPr>
          <w:p>
            <w:pPr>
              <w:spacing w:after="0"/>
              <w:jc w:val="left"/>
            </w:pPr>
            <w:r>
              <w:rPr>
                <w:rFonts w:ascii="Times New Roman" w:hAnsi="Times New Roman"/>
                <w:sz w:val="20"/>
              </w:rPr>
              <w:t>4.9 Home redesign</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Satisfação</w:t>
            </w:r>
          </w:p>
        </w:tc>
      </w:tr>
      <w:tr>
        <w:tc>
          <w:tcPr>
            <w:tcW w:type="dxa" w:w="3118"/>
            <w:vAlign w:val="center"/>
          </w:tcPr>
          <w:p>
            <w:pPr>
              <w:spacing w:after="0"/>
              <w:jc w:val="left"/>
            </w:pPr>
            <w:r>
              <w:rPr>
                <w:rFonts w:ascii="Times New Roman" w:hAnsi="Times New Roman"/>
                <w:sz w:val="20"/>
              </w:rPr>
              <w:t>4.10 Responsividade</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Acessibilidade</w:t>
            </w:r>
          </w:p>
        </w:tc>
      </w:tr>
      <w:tr>
        <w:tc>
          <w:tcPr>
            <w:tcW w:type="dxa" w:w="3118"/>
            <w:vAlign w:val="center"/>
          </w:tcPr>
          <w:p>
            <w:pPr>
              <w:spacing w:after="0"/>
              <w:jc w:val="left"/>
            </w:pPr>
            <w:r>
              <w:rPr>
                <w:rFonts w:ascii="Times New Roman" w:hAnsi="Times New Roman"/>
                <w:sz w:val="20"/>
              </w:rPr>
              <w:t>4.11 Avaliações e ranking</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t>✓</w:t>
            </w:r>
          </w:p>
        </w:tc>
        <w:tc>
          <w:tcPr>
            <w:tcW w:type="dxa" w:w="2268"/>
            <w:vAlign w:val="center"/>
          </w:tcPr>
          <w:p>
            <w:pPr>
              <w:spacing w:after="0"/>
              <w:jc w:val="center"/>
            </w:pPr>
            <w:r>
              <w:rPr>
                <w:rFonts w:ascii="Times New Roman" w:hAnsi="Times New Roman"/>
                <w:sz w:val="20"/>
              </w:rPr>
              <w:t>Eficácia</w:t>
            </w:r>
          </w:p>
        </w:tc>
      </w:tr>
      <w:tr>
        <w:tc>
          <w:tcPr>
            <w:tcW w:type="dxa" w:w="3118"/>
            <w:vAlign w:val="center"/>
          </w:tcPr>
          <w:p>
            <w:pPr>
              <w:spacing w:after="0"/>
              <w:jc w:val="left"/>
            </w:pPr>
            <w:r>
              <w:rPr>
                <w:rFonts w:ascii="Times New Roman" w:hAnsi="Times New Roman"/>
                <w:sz w:val="20"/>
              </w:rPr>
              <w:t>4.12 Correções de bugs</w:t>
            </w:r>
          </w:p>
        </w:tc>
        <w:tc>
          <w:tcPr>
            <w:tcW w:type="dxa" w:w="1134"/>
            <w:vAlign w:val="center"/>
          </w:tcPr>
          <w:p>
            <w:pPr>
              <w:spacing w:after="0"/>
              <w:jc w:val="center"/>
            </w:pPr>
            <w:r>
              <w:rPr>
                <w:rFonts w:ascii="Times New Roman" w:hAnsi="Times New Roman"/>
                <w:sz w:val="20"/>
              </w:rPr>
              <w:t>✓</w:t>
            </w:r>
          </w:p>
        </w:tc>
        <w:tc>
          <w:tcPr>
            <w:tcW w:type="dxa" w:w="1134"/>
            <w:vAlign w:val="center"/>
          </w:tcPr>
          <w:p>
            <w:pPr>
              <w:spacing w:after="0"/>
              <w:jc w:val="center"/>
            </w:pPr>
            <w:r>
              <w:rPr>
                <w:rFonts w:ascii="Times New Roman" w:hAnsi="Times New Roman"/>
                <w:sz w:val="20"/>
              </w:rPr>
            </w:r>
          </w:p>
        </w:tc>
        <w:tc>
          <w:tcPr>
            <w:tcW w:type="dxa" w:w="1134"/>
            <w:vAlign w:val="center"/>
          </w:tcPr>
          <w:p>
            <w:pPr>
              <w:spacing w:after="0"/>
              <w:jc w:val="center"/>
            </w:pPr>
            <w:r>
              <w:rPr>
                <w:rFonts w:ascii="Times New Roman" w:hAnsi="Times New Roman"/>
                <w:sz w:val="20"/>
              </w:rPr>
            </w:r>
          </w:p>
        </w:tc>
        <w:tc>
          <w:tcPr>
            <w:tcW w:type="dxa" w:w="2268"/>
            <w:vAlign w:val="center"/>
          </w:tcPr>
          <w:p>
            <w:pPr>
              <w:spacing w:after="0"/>
              <w:jc w:val="center"/>
            </w:pPr>
            <w:r>
              <w:rPr>
                <w:rFonts w:ascii="Times New Roman" w:hAnsi="Times New Roman"/>
                <w:sz w:val="20"/>
              </w:rPr>
              <w:t>Eficácia</w:t>
            </w:r>
          </w:p>
        </w:tc>
      </w:tr>
    </w:tbl>
    <w:p>
      <w:pPr>
        <w:spacing w:line="360" w:lineRule="auto" w:before="0" w:after="40"/>
      </w:pPr>
      <w:r>
        <w:rPr>
          <w:rFonts w:ascii="Times New Roman" w:hAnsi="Times New Roman"/>
          <w:b w:val="0"/>
          <w:i w:val="0"/>
          <w:sz w:val="24"/>
        </w:rPr>
        <w:t xml:space="preserve"> </w:t>
      </w:r>
    </w:p>
    <w:p>
      <w:pPr>
        <w:spacing w:line="360" w:lineRule="auto" w:before="0" w:after="120"/>
        <w:ind w:firstLine="709"/>
        <w:jc w:val="both"/>
      </w:pPr>
      <w:r>
        <w:rPr>
          <w:rFonts w:ascii="Times New Roman" w:hAnsi="Times New Roman"/>
          <w:b w:val="0"/>
          <w:i w:val="0"/>
          <w:sz w:val="24"/>
        </w:rPr>
        <w:t>Pela leitura do quadro, observa-se que as melhorias de maior abrangência conceitual (linhas 4.3, 4.5 e 4.7) atendem simultaneamente a três ou quatro conceitos, sinalizando que são os pontos de maior impacto na experiência do usuário. Por outro lado, ajustes como tipografia e responsividade, embora concentrados em poucas dimensões, são decisivos para o atendimento dos critérios de acessibilidade e satisfação.</w:t>
      </w:r>
    </w:p>
    <w:p>
      <w:r>
        <w:br w:type="page"/>
      </w:r>
    </w:p>
    <w:p>
      <w:pPr>
        <w:pStyle w:val="Heading1"/>
        <w:spacing w:before="360" w:after="160"/>
        <w:jc w:val="left"/>
      </w:pPr>
      <w:r>
        <w:rPr>
          <w:rFonts w:ascii="Times New Roman" w:hAnsi="Times New Roman"/>
          <w:color w:val="000000"/>
          <w:sz w:val="28"/>
        </w:rPr>
        <w:t>7 ANÁLISE CRÍTICA E CONSIDERAÇÕES FINAIS</w:t>
      </w:r>
    </w:p>
    <w:p>
      <w:pPr>
        <w:spacing w:line="360" w:lineRule="auto" w:before="0" w:after="120"/>
        <w:ind w:firstLine="709"/>
        <w:jc w:val="both"/>
      </w:pPr>
      <w:r>
        <w:rPr>
          <w:rFonts w:ascii="Times New Roman" w:hAnsi="Times New Roman"/>
          <w:b w:val="0"/>
          <w:i w:val="0"/>
          <w:sz w:val="24"/>
        </w:rPr>
        <w:t>Olhando para o conjunto das melhorias implementadas, fica claro que o ganho mais expressivo desta etapa do projeto foi a transição de uma interface centrada na entrega funcional para uma interface centrada no usuário. Na primeira entrega, o foco predominante era “a aplicação funciona”. A pergunta orientadora desta segunda fase passou a ser “a aplicação funciona bem para quem vai usá-la, no contexto real de uso?”.</w:t>
      </w:r>
    </w:p>
    <w:p>
      <w:pPr>
        <w:spacing w:line="360" w:lineRule="auto" w:before="0" w:after="120"/>
        <w:ind w:firstLine="709"/>
        <w:jc w:val="both"/>
      </w:pPr>
      <w:r>
        <w:rPr>
          <w:rFonts w:ascii="Times New Roman" w:hAnsi="Times New Roman"/>
          <w:b w:val="0"/>
          <w:i w:val="0"/>
          <w:sz w:val="24"/>
        </w:rPr>
        <w:t>Esse deslocamento de perspectiva, embora pareça sutil, teve consequências práticas significativas. A separação de perfis, por exemplo, deixou de ser apenas uma exigência técnica do modelo de dados e passou a ser entendida como uma decisão de design que afeta a confiabilidade da informação apresentada ao consumidor. Da mesma forma, a tipografia e o contraste deixaram de ser questões de gosto estético para tornarem-se decisões de inclusão e acessibilidade.</w:t>
      </w:r>
    </w:p>
    <w:p>
      <w:pPr>
        <w:spacing w:line="360" w:lineRule="auto" w:before="0" w:after="120"/>
        <w:ind w:firstLine="709"/>
        <w:jc w:val="both"/>
      </w:pPr>
      <w:r>
        <w:rPr>
          <w:rFonts w:ascii="Times New Roman" w:hAnsi="Times New Roman"/>
          <w:b w:val="0"/>
          <w:i w:val="0"/>
          <w:sz w:val="24"/>
        </w:rPr>
        <w:t>Entre as escolhas mais relevantes, destacam-se três. A primeira foi a aplicação rigorosa das diretrizes de contraste da WCAG 2.1, garantindo legibilidade ao público-alvo da plataforma. A segunda foi a reformulação do fluxo de cadastro de produtos, com máscara monetária, validação por faixa de preço e separação de perfis, que em conjunto mitigam o risco de dados fraudulentos sem onerar o usuário legítimo. A terceira foi a unificação do feedback visual em toda a aplicação, com toasts, spinners e animações coerentes, transformando a experiência em um diálogo previsível.</w:t>
      </w:r>
    </w:p>
    <w:p>
      <w:pPr>
        <w:spacing w:line="360" w:lineRule="auto" w:before="0" w:after="120"/>
        <w:ind w:firstLine="709"/>
        <w:jc w:val="both"/>
      </w:pPr>
      <w:r>
        <w:rPr>
          <w:rFonts w:ascii="Times New Roman" w:hAnsi="Times New Roman"/>
          <w:b w:val="0"/>
          <w:i w:val="0"/>
          <w:sz w:val="24"/>
        </w:rPr>
        <w:t>É preciso reconhecer, ao mesmo tempo, as limitações do processo. O feedback coletado veio principalmente do professor e do próprio grupo, sem a realização de testes formais com usuários externos. Em uma próxima iteração, seria importante conduzir testes de usabilidade com representantes do público-alvo — especialmente pessoas mais velhas, que já foram identificadas como um perfil estratégico para o MercadoCerto. A ausência desse retorno direto torna algumas decisões mais dependentes de inferência do que de evidência.</w:t>
      </w:r>
    </w:p>
    <w:p>
      <w:pPr>
        <w:spacing w:line="360" w:lineRule="auto" w:before="0" w:after="120"/>
        <w:ind w:firstLine="709"/>
        <w:jc w:val="both"/>
      </w:pPr>
      <w:r>
        <w:rPr>
          <w:rFonts w:ascii="Times New Roman" w:hAnsi="Times New Roman"/>
          <w:b w:val="0"/>
          <w:i w:val="0"/>
          <w:sz w:val="24"/>
        </w:rPr>
        <w:t>Outra limitação relevante é a validação automática de preços por OCR, que permanece como uma melhoria prevista, mas ainda não implementada. A versão atual depende da obrigatoriedade da foto da etiqueta como prova visual, o que reduz riscos, mas não elimina por completo a possibilidade de inconsistência. Trata-se de um ponto natural de evolução para as próximas entregas.</w:t>
      </w:r>
    </w:p>
    <w:p>
      <w:pPr>
        <w:spacing w:line="360" w:lineRule="auto" w:before="0" w:after="120"/>
        <w:ind w:firstLine="709"/>
        <w:jc w:val="both"/>
      </w:pPr>
      <w:r>
        <w:rPr>
          <w:rFonts w:ascii="Times New Roman" w:hAnsi="Times New Roman"/>
          <w:b w:val="0"/>
          <w:i w:val="0"/>
          <w:sz w:val="24"/>
        </w:rPr>
        <w:t>No conjunto, a experiência de revisitar o projeto sob a ótica explícita dos conceitos de IHC foi a contribuição formativa mais importante deste trabalho. Mais do que implementar melhorias, foi possível justificar por que cada uma delas faz sentido — exercício que aproxima a prática de desenvolvimento de uma postura reflexiva sobre o papel do projetista de interfaces. Os autores compreendem que a interface ora entregue não é um produto final, mas uma versão intermediária de um processo contínuo de avaliação, aprendizado e refinamento.</w:t>
      </w:r>
    </w:p>
    <w:p>
      <w:r>
        <w:br w:type="page"/>
      </w:r>
    </w:p>
    <w:p>
      <w:pPr>
        <w:pStyle w:val="Heading1"/>
        <w:spacing w:before="360" w:after="160"/>
        <w:jc w:val="left"/>
      </w:pPr>
      <w:r>
        <w:rPr>
          <w:rFonts w:ascii="Times New Roman" w:hAnsi="Times New Roman"/>
          <w:color w:val="000000"/>
          <w:sz w:val="28"/>
        </w:rPr>
        <w:t>REFERÊNCIAS</w:t>
      </w:r>
    </w:p>
    <w:p>
      <w:pPr>
        <w:spacing w:line="240" w:lineRule="auto" w:after="200"/>
        <w:jc w:val="both"/>
      </w:pPr>
      <w:r>
        <w:rPr>
          <w:rFonts w:ascii="Times New Roman" w:hAnsi="Times New Roman"/>
          <w:sz w:val="24"/>
        </w:rPr>
        <w:t>COOPER, A.; REIMANN, R.; CRONIN, D.; NOESSEL, C. About Face: The Essentials of Interaction Design. 4. ed. Indianapolis: Wiley, 2014.</w:t>
      </w:r>
    </w:p>
    <w:p>
      <w:pPr>
        <w:spacing w:line="240" w:lineRule="auto" w:after="200"/>
        <w:jc w:val="both"/>
      </w:pPr>
      <w:r>
        <w:rPr>
          <w:rFonts w:ascii="Times New Roman" w:hAnsi="Times New Roman"/>
          <w:sz w:val="24"/>
        </w:rPr>
        <w:t>GIBSON, J. J. The Ecological Approach to Visual Perception. Boston: Houghton Mifflin, 1979.</w:t>
      </w:r>
    </w:p>
    <w:p>
      <w:pPr>
        <w:spacing w:line="240" w:lineRule="auto" w:after="200"/>
        <w:jc w:val="both"/>
      </w:pPr>
      <w:r>
        <w:rPr>
          <w:rFonts w:ascii="Times New Roman" w:hAnsi="Times New Roman"/>
          <w:sz w:val="24"/>
        </w:rPr>
        <w:t>INTERNATIONAL ORGANIZATION FOR STANDARDIZATION. ISO 9241-11: Ergonomics of human-system interaction — Part 11: Usability: Definitions and concepts. Geneva: ISO, 2018.</w:t>
      </w:r>
    </w:p>
    <w:p>
      <w:pPr>
        <w:spacing w:line="240" w:lineRule="auto" w:after="200"/>
        <w:jc w:val="both"/>
      </w:pPr>
      <w:r>
        <w:rPr>
          <w:rFonts w:ascii="Times New Roman" w:hAnsi="Times New Roman"/>
          <w:sz w:val="24"/>
        </w:rPr>
        <w:t>KRUG, S. Don't Make Me Think, Revisited: A Common Sense Approach to Web Usability. 3. ed. Berkeley: New Riders, 2014.</w:t>
      </w:r>
    </w:p>
    <w:p>
      <w:pPr>
        <w:spacing w:line="240" w:lineRule="auto" w:after="200"/>
        <w:jc w:val="both"/>
      </w:pPr>
      <w:r>
        <w:rPr>
          <w:rFonts w:ascii="Times New Roman" w:hAnsi="Times New Roman"/>
          <w:sz w:val="24"/>
        </w:rPr>
        <w:t>MAYHEW, D. J. Principles and Guidelines in Software User Interface Design. Englewood Cliffs: Prentice Hall, 1992.</w:t>
      </w:r>
    </w:p>
    <w:p>
      <w:pPr>
        <w:spacing w:line="240" w:lineRule="auto" w:after="200"/>
        <w:jc w:val="both"/>
      </w:pPr>
      <w:r>
        <w:rPr>
          <w:rFonts w:ascii="Times New Roman" w:hAnsi="Times New Roman"/>
          <w:sz w:val="24"/>
        </w:rPr>
        <w:t>NIELSEN, J. Usability Engineering. San Diego: Academic Press, 1993.</w:t>
      </w:r>
    </w:p>
    <w:p>
      <w:pPr>
        <w:spacing w:line="240" w:lineRule="auto" w:after="200"/>
        <w:jc w:val="both"/>
      </w:pPr>
      <w:r>
        <w:rPr>
          <w:rFonts w:ascii="Times New Roman" w:hAnsi="Times New Roman"/>
          <w:sz w:val="24"/>
        </w:rPr>
        <w:t>NIELSEN, J. 10 Usability Heuristics for User Interface Design. Nielsen Norman Group, 1994. Disponível em: https://www.nngroup.com/articles/ten-usability-heuristics/. Acesso em: 15 mai. 2026.</w:t>
      </w:r>
    </w:p>
    <w:p>
      <w:pPr>
        <w:spacing w:line="240" w:lineRule="auto" w:after="200"/>
        <w:jc w:val="both"/>
      </w:pPr>
      <w:r>
        <w:rPr>
          <w:rFonts w:ascii="Times New Roman" w:hAnsi="Times New Roman"/>
          <w:sz w:val="24"/>
        </w:rPr>
        <w:t>NORMAN, D. A. The Design of Everyday Things. Revised and Expanded Edition. New York: Basic Books, 2013.</w:t>
      </w:r>
    </w:p>
    <w:p>
      <w:pPr>
        <w:spacing w:line="240" w:lineRule="auto" w:after="200"/>
        <w:jc w:val="both"/>
      </w:pPr>
      <w:r>
        <w:rPr>
          <w:rFonts w:ascii="Times New Roman" w:hAnsi="Times New Roman"/>
          <w:sz w:val="24"/>
        </w:rPr>
        <w:t>PEDROSO JUNIOR, C. A. UX – Arquitetura e Usabilidade: Aula VIII (08/05/2025). Centro Universitário Senac, 2025. Material didático.</w:t>
      </w:r>
    </w:p>
    <w:p>
      <w:pPr>
        <w:spacing w:line="240" w:lineRule="auto" w:after="200"/>
        <w:jc w:val="both"/>
      </w:pPr>
      <w:r>
        <w:rPr>
          <w:rFonts w:ascii="Times New Roman" w:hAnsi="Times New Roman"/>
          <w:sz w:val="24"/>
        </w:rPr>
        <w:t>PEDROSO JUNIOR, C. A. UX – Arquitetura e Usabilidade: Aula IX (15/05/2026). Centro Universitário Senac, 2026. Material didático.</w:t>
      </w:r>
    </w:p>
    <w:p>
      <w:pPr>
        <w:spacing w:line="240" w:lineRule="auto" w:after="200"/>
        <w:jc w:val="both"/>
      </w:pPr>
      <w:r>
        <w:rPr>
          <w:rFonts w:ascii="Times New Roman" w:hAnsi="Times New Roman"/>
          <w:sz w:val="24"/>
        </w:rPr>
        <w:t>PREECE, J.; ROGERS, Y.; SHARP, H. Design de Interação: além da interação humano-computador. 3. ed. Porto Alegre: Bookman, 2013.</w:t>
      </w:r>
    </w:p>
    <w:p>
      <w:pPr>
        <w:spacing w:line="240" w:lineRule="auto" w:after="200"/>
        <w:jc w:val="both"/>
      </w:pPr>
      <w:r>
        <w:rPr>
          <w:rFonts w:ascii="Times New Roman" w:hAnsi="Times New Roman"/>
          <w:sz w:val="24"/>
        </w:rPr>
        <w:t>WINOGRAD, T. From computing machinery to interaction design. In: DENNING, P.; METCALFE, R. (eds.). Beyond Calculation: The Next Fifty Years of Computing. New York: Springer-Verlag, 2003.</w:t>
      </w:r>
    </w:p>
    <w:p>
      <w:pPr>
        <w:spacing w:line="240" w:lineRule="auto" w:after="200"/>
        <w:jc w:val="both"/>
      </w:pPr>
      <w:r>
        <w:rPr>
          <w:rFonts w:ascii="Times New Roman" w:hAnsi="Times New Roman"/>
          <w:sz w:val="24"/>
        </w:rPr>
        <w:t>W3C. Web Content Accessibility Guidelines (WCAG) 2.1. World Wide Web Consortium, 2018. Disponível em: https://www.w3.org/TR/WCAG21/. Acesso em: 15 mai. 2026.</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