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Утверждено: Ассоциация травматологов-ортопедов России (АТОР)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2"/>
        </w:rPr>
        <w:t>Клинические рекомендации</w:t>
      </w:r>
    </w:p>
    <w:p>
      <w:pPr>
        <w:jc w:val="center"/>
      </w:pPr>
      <w:r>
        <w:rPr>
          <w:b/>
          <w:i w:val="0"/>
          <w:sz w:val="32"/>
        </w:rPr>
        <w:t>Переломы дистального отдела костей предплечья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Кодирование по Международной статистической классификации болезней и проблем, связанных со здоровьем: S52.5, S52.50, S52.51, S52.6, S52.60, S52.61, S52.8</w:t>
      </w:r>
    </w:p>
    <w:p>
      <w:r>
        <w:rPr>
          <w:b w:val="0"/>
          <w:i w:val="0"/>
        </w:rPr>
        <w:t>Возрастная группа: Взрослые, дети</w:t>
      </w:r>
    </w:p>
    <w:p>
      <w:r>
        <w:rPr>
          <w:b w:val="0"/>
          <w:i w:val="0"/>
        </w:rPr>
        <w:t>Год утверждения: 2026</w:t>
      </w:r>
    </w:p>
    <w:p>
      <w:r>
        <w:rPr>
          <w:b w:val="0"/>
          <w:i w:val="0"/>
        </w:rPr>
        <w:t>Разработчик клинической рекомендации: Ассоциация травматологов-ортопедов России (АТОР)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  <w:color w:val="A00000"/>
        </w:rPr>
        <w:t>ЧЕРНОВИК, сформированный автоматически из научных публикаций. Требует экспертной проверки. Не предназначен для лечения пациентов.</w:t>
      </w:r>
    </w:p>
    <w:p>
      <w:r>
        <w:br w:type="page"/>
      </w:r>
    </w:p>
    <w:p>
      <w:pPr>
        <w:pStyle w:val="Heading1"/>
      </w:pPr>
      <w:r>
        <w:t>Оглавление</w:t>
      </w:r>
    </w:p>
    <w:p>
      <w:fldSimple w:instr="TOC \o &quot;1-3&quot; \h \z \u">
        <w:r>
          <w:t>Обновите поле (F9), чтобы построить оглавление.</w:t>
        </w:r>
      </w:fldSimple>
    </w:p>
    <w:p>
      <w:r>
        <w:br w:type="page"/>
      </w:r>
    </w:p>
    <w:p>
      <w:pPr>
        <w:pStyle w:val="Heading1"/>
      </w:pPr>
      <w:r>
        <w:t>Список сокращений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Термины и определения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1. Краткая информация по заболеванию или состоянию (группе заболеваний или состояний)</w:t>
      </w:r>
    </w:p>
    <w:p>
      <w:pPr>
        <w:pStyle w:val="Heading2"/>
      </w:pPr>
      <w:r>
        <w:t>1.1 Определение заболевания или состояния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1.2 Этиология и патогенез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1.3 Эпидемиология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1.4 Особенности кодирования по МКБ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1.5 Классификация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1.6 Клиническая картина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2. Диагностика заболевания или состояния (группы заболеваний или состояний), медицинские показания и противопоказания к применению методов диагностики</w:t>
      </w:r>
    </w:p>
    <w:p>
      <w:pPr>
        <w:pStyle w:val="Heading2"/>
      </w:pPr>
      <w:r>
        <w:t>2.1 Жалобы и анамнез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2.2 Физикальное обследование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2.3 Лабораторные диагностические исследования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2.4 Инструментальные диагностические исследования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2.5 Иные диагностические исследования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3. Лечение, включая медикаментозную и немедикаментозную терапии, диетотерапию, обезболивание, медицинские показания и противопоказания к применению методов лечения</w:t>
      </w:r>
    </w:p>
    <w:p>
      <w:pPr>
        <w:pStyle w:val="Heading2"/>
      </w:pPr>
      <w:r>
        <w:t>3.1 Консервативное лечение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3.2 Хирургическое лечение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2"/>
      </w:pPr>
      <w:r>
        <w:t>3.3 Иное лечение (обезболивание, профилактика осложнений и др.)</w:t>
      </w:r>
    </w:p>
    <w:p>
      <w:pPr>
        <w:pStyle w:val="ListBullet"/>
      </w:pPr>
      <w:r>
        <w:rPr>
          <w:b w:val="0"/>
        </w:rPr>
        <w:t>Рекомендуется введение цефалоспоринов 1-го поколения пациентам с открытыми переломами Gustilo I и II типов с целью профилактики инфекции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Источники рекомендуют цефалоспорины 1-го поколения для переломов Gustilo I и II типов на основе необходимости охвата грамположительной флоры. Для переломов Gustilo III требуется расширенное покрытие против грамотрицательных организмов.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Числа тезиса не найдены в доказательствах: 1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pPr>
        <w:pStyle w:val="ListBullet"/>
      </w:pPr>
      <w:r>
        <w:rPr>
          <w:b w:val="0"/>
        </w:rPr>
        <w:t>Не рекомендуется прекращение антибиотикопрофилактики в течение 72 часов после закрытия раны у пациентов с открытыми переломами костей с целью минимизации нежелательных эффектов и развития антибиотикорезистентности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Рекомендация устанавливает чёткий временной лимит антибиотикопрофилактики (72 часа после закрытия раны) для предотвращения избыточного использования антибиотиков и снижения риска развития резистентности.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pPr>
        <w:pStyle w:val="ListBullet"/>
      </w:pPr>
      <w:r>
        <w:rPr>
          <w:b w:val="0"/>
        </w:rPr>
        <w:t>Рекомендуется добавление антибиотика с анаэробным покрытием (пенициллин, клиндамицин или метронидазол) пациентам с открытыми переломами при потенциальном загрязнении клостридиями с целью профилактики газовой гангрены и других анаэробных инфекций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Рекомендация основана на клинических рекомендациях, учитывающих высокий риск анаэробных инфекций при определённых типах загрязнения. Условная рекомендация предполагает оценку факторов риска в каждом конкретном случае.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pPr>
        <w:pStyle w:val="ListBullet"/>
      </w:pPr>
      <w:r>
        <w:rPr>
          <w:b w:val="0"/>
        </w:rPr>
        <w:t>Рекомендуется продолжение антибиотикопрофилактики в течение 72 часов или 24 часов после закрытия либо пластики мягких тканей раны у пациентов с открытыми переломами III типа с целью профилактики инфекции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Переломы Gustilo III имеют наиболее высокий риск инфекции, что обосновывает более длительное антибиотикопрофилактическое покрытие по сравнению с переломами I и II типов. Рекомендация предусматривает альтернативные критерии окончания (72 часа или 24 часа после мягкотканного закрытия).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pPr>
        <w:pStyle w:val="ListBullet"/>
      </w:pPr>
      <w:r>
        <w:rPr>
          <w:b w:val="0"/>
        </w:rPr>
        <w:t>Рекомендуется рассмотрение дополнительного покрытия против грамотрицательных организмов пациентам с высокоэнергетическими открытыми переломами дистального отдела костей предплечья с целью снижения риска инфекционных осложнений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Источник рекомендует рассмотреть усиленное антибактериальное покрытие при высокоэнергетических открытых переломах, однако конкретные сравнительные данные об эффективности в карточках не приведены. Рекомендация основана на клиническом суждении о более высоком риске полимикробного инфицирования при таких повреждениях.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pPr>
        <w:pStyle w:val="ListBullet"/>
      </w:pPr>
      <w:r>
        <w:rPr>
          <w:b w:val="0"/>
        </w:rPr>
        <w:t>Рекомендуется рассмотреть возможность оценки функции почек до начала антибиотикотерапии аминогликозидами пациентам с открытыми переломами дистального отдела костей предплечья с целью раннего выявления контрапоказаний и предотвращения нефротоксичности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Карточки указывают на способность аминогликозидов вызывать нефротоксичность и необходимость предварительной оценки. Отдельное исследование показало, что при нормальной исходной функции почек гентамицин безопасен, что подтверждает значимость предварительной оценки как стратегии отбора пациентов.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Тезис предложен системой на основании результатов исследований (явной рекомендации авторов нет) — требуется решение эксперта</w:t>
      </w:r>
    </w:p>
    <w:p>
      <w:r>
        <w:rPr>
          <w:b w:val="0"/>
          <w:i/>
          <w:color w:val="B45A00"/>
          <w:sz w:val="20"/>
        </w:rPr>
        <w:t>⚠ Часть доказательств — вторичное цитирование (пересказ других работ): УДД по ним не присваивается, нужен первоисточник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Среди доказательств есть противоречия — см. вкладку «Противоречия»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pPr>
        <w:pStyle w:val="ListBullet"/>
      </w:pPr>
      <w:r>
        <w:rPr>
          <w:b w:val="0"/>
        </w:rPr>
        <w:t>Не рекомендуется отказ от рутинного использования ванкомицина в дополнение к цефазолину пациентам с открытыми переломами дистального отдела костей предплечья с целью избежания необоснованной полипрепаратной терапии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Рандомизированное исследование продемонстрировало отсутствие преимущества комбинации ванкомицина и цефазолина по сравнению с монотерапией цефазолином у пациентов с открытыми переломами. Авторы явно не рекомендуют рутинное применение ванкомицина при таких повреждениях.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Часть доказательств — вторичное цитирование (пересказ других работ): УДД по ним не присваивается, нужен первоисточник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Среди доказательств есть противоречия — см. вкладку «Противоречия»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pPr>
        <w:pStyle w:val="ListBullet"/>
      </w:pPr>
      <w:r>
        <w:rPr>
          <w:b w:val="0"/>
        </w:rPr>
        <w:t>Рекомендуется рассмотреть возможность ограничения профилактического введения антибиотиков одним днём вместо пяти дней пациентам с открытыми переломами дистального отдела костей предплечья с целью предотвращения необоснованного продления антибиотикотерапии при сохранении эффективности профилактики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Два исследования продемонстрировали эквивалентность одного дня профилактики и пятидневного курса по частоте инфекции, что позволяет избежать ненужного продления антибиотикотерапии. Авторы явно выступают против пятидневной профилактики.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Тезис предложен системой на основании результатов исследований (явной рекомендации авторов нет) — требуется решение эксперта</w:t>
      </w:r>
    </w:p>
    <w:p>
      <w:r>
        <w:rPr>
          <w:b w:val="0"/>
          <w:i/>
          <w:color w:val="B45A00"/>
          <w:sz w:val="20"/>
        </w:rPr>
        <w:t>⚠ Часть доказательств — вторичное цитирование (пересказ других работ): УДД по ним не присваивается, нужен первоисточник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Положительный тезис при только отрицательных доказательствах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pPr>
        <w:pStyle w:val="ListBullet"/>
      </w:pPr>
      <w:r>
        <w:rPr>
          <w:b w:val="0"/>
        </w:rPr>
        <w:t>Рекомендуется введение системных антибиотиков в течение 24–72 часов после закрытия раны пациентам с открытыми переломами I и II типов дистального отдела костей предплечья с целью достижения адекватной профилактики инфекционных осложнений без необоснованного продления терапии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Источник даёт чёткие временные рамки для профилактической антибиотикотерапии при открытых переломах I–II типов, основанные на клиническом анализе имеющихся данных. Это рекомендация консенсуса в отсутствие больших рандомизированных исследований.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Среди доказательств есть противоречия — см. вкладку «Противоречия»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pPr>
        <w:pStyle w:val="ListBullet"/>
      </w:pPr>
      <w:r>
        <w:rPr>
          <w:b w:val="0"/>
        </w:rPr>
        <w:t>Рекомендуется введение системных антибиотиков как можно скорее после травмы пациентам с открытыми переломами дистального отдела костей предплечья с целью снижения риска глубокой инфекции</w:t>
      </w:r>
      <w:r>
        <w:t xml:space="preserve"> [1]</w:t>
      </w:r>
      <w:r>
        <w:t>.</w:t>
      </w:r>
    </w:p>
    <w:p>
      <w:r>
        <w:rPr>
          <w:b/>
          <w:i w:val="0"/>
        </w:rPr>
        <w:t>Уровень убедительности рекомендаций и уровень достоверности доказательств не определены автоматически — требуется оценка эксперта.</w:t>
      </w:r>
    </w:p>
    <w:p>
      <w:r>
        <w:rPr>
          <w:i/>
        </w:rPr>
        <w:t xml:space="preserve">Комментарий: </w:t>
      </w:r>
      <w:r>
        <w:rPr>
          <w:i/>
        </w:rPr>
        <w:t>Ретроспективное исследование показало трёхкратное повышение риска глубокой инфекции при введении антибиотиков позже 66 минут после травмы. Клинические рекомендации подтверждают необходимость ранней антибиотикопрофилактики, хотя идеальный временной порог может варьироваться.</w:t>
      </w:r>
    </w:p>
    <w:p>
      <w:r>
        <w:rPr>
          <w:b w:val="0"/>
          <w:i/>
          <w:color w:val="6E6E6E"/>
          <w:sz w:val="20"/>
        </w:rPr>
        <w:t>Черновик: сформирован автоматически, экспертом не утверждён.</w:t>
      </w:r>
    </w:p>
    <w:p>
      <w:r>
        <w:rPr>
          <w:b w:val="0"/>
          <w:i/>
          <w:color w:val="B45A00"/>
          <w:sz w:val="20"/>
        </w:rPr>
        <w:t>⚠ Часть доказательств — вторичное цитирование (пересказ других работ): УДД по ним не присваивается, нужен первоисточник</w:t>
      </w:r>
    </w:p>
    <w:p>
      <w:r>
        <w:rPr>
          <w:b w:val="0"/>
          <w:i/>
          <w:color w:val="B45A00"/>
          <w:sz w:val="20"/>
        </w:rPr>
        <w:t>⚠ УДД не определён: дизайн источника неизвестен или источник — руководство/обзор</w:t>
      </w:r>
    </w:p>
    <w:p>
      <w:r>
        <w:rPr>
          <w:b w:val="0"/>
          <w:i/>
          <w:color w:val="B45A00"/>
          <w:sz w:val="20"/>
        </w:rPr>
        <w:t>⚠ Доказательства косвенные: получены не на пациентах с темой КР — применимость к теме требует решения эксперта</w:t>
      </w:r>
    </w:p>
    <w:p>
      <w:r>
        <w:rPr>
          <w:b w:val="0"/>
          <w:i/>
          <w:color w:val="B45A00"/>
          <w:sz w:val="20"/>
        </w:rPr>
        <w:t>⚠ Популяция тезиса подменена темой КР: в доказательствах нет упоминания «предплеч» — исправьте группу пациентов</w:t>
      </w:r>
    </w:p>
    <w:p>
      <w:r>
        <w:rPr>
          <w:b w:val="0"/>
          <w:i/>
          <w:color w:val="B45A00"/>
          <w:sz w:val="20"/>
        </w:rPr>
        <w:t>⚠ Объединено из 2 тезисов: Оба тезиса рекомендуют введение системных профилактических антибиотиков при открытых переломах костей с целью профилактики инфекции, различаются только формулировкой специфики введения</w:t>
      </w:r>
    </w:p>
    <w:p>
      <w:pPr>
        <w:pStyle w:val="Heading1"/>
      </w:pPr>
      <w:r>
        <w:t>4. Медицинская реабилитация и санаторно-курортное лечение, медицинские показания и противопоказания к применению методов медицинской реабилитации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5. Профилактика и диспансерное наблюдение, медицинские показания и противопоказания к применению методов профилактики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6. Организация оказания медицинской помощи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7. Дополнительная информация (в том числе факторы, влияющие на исход заболевания или состояния)</w:t>
      </w:r>
    </w:p>
    <w:p>
      <w:r>
        <w:rPr>
          <w:b w:val="0"/>
          <w:i/>
          <w:color w:val="6E6E6E"/>
        </w:rPr>
        <w:t>Недостаточно материалов: в обработанных статьях не найдено подтверждённых утверждений для этого раздела.</w:t>
      </w:r>
    </w:p>
    <w:p>
      <w:pPr>
        <w:pStyle w:val="Heading1"/>
      </w:pPr>
      <w:r>
        <w:t>Критерии оценки качества медицинской помощи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Критерии качества</w:t>
            </w:r>
          </w:p>
        </w:tc>
        <w:tc>
          <w:tcPr>
            <w:tcW w:type="dxa" w:w="2880"/>
          </w:tcPr>
          <w:p>
            <w:r>
              <w:t>Оценка выполнения (да/нет)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Документировано введение цефалоспорина 1-го поколения при поступлении пациента с открытым переломом Gustilo I или II типа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Прекращена антибиотикопрофилактика не позднее 72 часов после закрытия раны (документировано в истории болезни)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Добавлен антибиотик с анаэробным покрытием при документированном факторе риска клостридиального загрязнения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Документирована продолжительность антибиотикопрофилактики (до 72 часов или до 24 часов после закрытия мягких тканей) у пациента с открытым переломом III типа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Рассмотрена возможность дополнительного покрытия против грамотрицательных организмов и обоснованы критерии его назначения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Проведена оценка функции почек (креатинин, скорость клубочковой фильтрации или эквивалент) до начала антибиотикотерапии аминогликозидами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Ванкомицин не назначен рутинно; при назначении обоснованы конкретные показания (например, аллергия на бета-лактамы или MRSA-инфекция)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Профилактическое введение антибиотиков ограничено одним днём (или в соответствии с рекомендуемыми временными рамками 24–72 часа после закрытия раны при I–II типах переломов)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Зафиксирована дата и время закрытия раны; антибиотикотерапия продолжена на 24–72 часа после этого момента с документированием сроков введения и отмены препаратов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Системные антибиотики введены в сроки, фиксированные в медицинской документации с указанием времени травмы и времени введения препарата</w:t>
            </w:r>
          </w:p>
        </w:tc>
        <w:tc>
          <w:tcPr>
            <w:tcW w:type="dxa" w:w="2880"/>
          </w:tcPr>
          <w:p>
            <w:r>
              <w:t>Да/Нет</w:t>
            </w:r>
          </w:p>
        </w:tc>
      </w:tr>
    </w:tbl>
    <w:p>
      <w:r>
        <w:rPr>
          <w:b w:val="0"/>
          <w:i/>
          <w:color w:val="6E6E6E"/>
          <w:sz w:val="20"/>
        </w:rPr>
        <w:t>Критерии предложены автоматически и требуют утверждения экспертом.</w:t>
      </w:r>
    </w:p>
    <w:p>
      <w:pPr>
        <w:pStyle w:val="Heading1"/>
      </w:pPr>
      <w:r>
        <w:t>Список литературы</w:t>
      </w:r>
    </w:p>
    <w:p>
      <w:r>
        <w:rPr>
          <w:b w:val="0"/>
          <w:i w:val="0"/>
        </w:rPr>
        <w:t>1. Willem-Jan Metsemakers, Charalampos Zalavras. 311.pdf</w:t>
      </w:r>
    </w:p>
    <w:p>
      <w:pPr>
        <w:pStyle w:val="Heading1"/>
      </w:pPr>
      <w:r>
        <w:t>Приложение А1. Состав рабочей группы по разработке и пересмотру клинических рекомендаций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Приложение А2. Методология разработки клинических рекомендаций</w:t>
      </w:r>
    </w:p>
    <w:p>
      <w:r>
        <w:rPr>
          <w:b w:val="0"/>
          <w:i w:val="0"/>
        </w:rPr>
        <w:t>Черновик сформирован системой автоматического извлечения из научных публикаций: каждое утверждение связано с дословной цитатой и страницей PDF источника; цитаты, числа и отрицания проверены автоматически, смысловое соответствие — независимой языковой моделью-рецензентом. Уровни достоверности доказательств присвоены по дизайну исследования согласно шкалам ниже; уровни убедительности рекомендаций предварительные и подлежат утверждению рабочей группой.</w:t>
      </w:r>
    </w:p>
    <w:p>
      <w:r>
        <w:rPr>
          <w:b/>
          <w:i w:val="0"/>
        </w:rPr>
        <w:t>Шкала оценки УДД для методов диагностики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Систематические обзоры исследований с контролем референсным методом или систематический обзор РКИ с применением метаанализа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Отдельные исследования с контролем референсным методом или отдельные РКИ и систематические обзоры исследований любого дизайна, за исключением РКИ, с применением метаанализа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Исследования без последовательного контроля референсным методом или с референсным методом, не являющимся независимым, или нерандомизированные сравнительные исследования, в том числе когортные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Несравнительные исследования, описание клинического случая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Имеется лишь обоснование механизма действия или мнение экспертов</w:t>
            </w:r>
          </w:p>
        </w:tc>
      </w:tr>
    </w:tbl>
    <w:p>
      <w:r>
        <w:rPr>
          <w:b/>
          <w:i w:val="0"/>
        </w:rPr>
        <w:t>Шкала оценки УДД для методов профилактики, лечения и реабилитации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Систематический обзор РКИ с применением метаанализа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Отдельные РКИ и систематические обзоры исследований любого дизайна, за исключением РКИ, с применением метаанализа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Нерандомизированные сравнительные исследования, в т.ч. когортные исследования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Несравнительные исследования, описание клинического случая или серии случаев, исследования «случай-контроль»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Имеется лишь обоснование механизма действия вмешательства (доклинические исследования) или мнение экспертов</w:t>
            </w:r>
          </w:p>
        </w:tc>
      </w:tr>
    </w:tbl>
    <w:p>
      <w:r>
        <w:rPr>
          <w:b/>
          <w:i w:val="0"/>
        </w:rPr>
        <w:t>Шкала оценки УУР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Сильная рекомендация (все критерии эффективности важны, все исследования высокого или удовлетворительного качества, выводы согласованы)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Условная рекомендация (не все критерии важны, не все исследования высокого качества и/или выводы не согласованы)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Слабая рекомендация (отсутствие доказательств надлежащего качества)</w:t>
            </w:r>
          </w:p>
        </w:tc>
      </w:tr>
    </w:tbl>
    <w:p>
      <w:pPr>
        <w:pStyle w:val="Heading1"/>
      </w:pPr>
      <w:r>
        <w:t>Приложение А3. Справочные материалы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Приложение Б. Алгоритмы действий врача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Приложение В. Информация для пациента</w:t>
      </w:r>
    </w:p>
    <w:p>
      <w:r>
        <w:rPr>
          <w:b w:val="0"/>
          <w:i/>
        </w:rPr>
        <w:t>Заполняется рабочей группой.</w:t>
      </w:r>
    </w:p>
    <w:p>
      <w:pPr>
        <w:pStyle w:val="Heading1"/>
      </w:pPr>
      <w:r>
        <w:t>Приложение Г1–ГN. Шкалы оценки, вопросники и другие оценочные инструменты</w:t>
      </w:r>
    </w:p>
    <w:p>
      <w:r>
        <w:rPr>
          <w:b w:val="0"/>
          <w:i/>
        </w:rPr>
        <w:t>Заполняется рабочей группой.</w:t>
      </w:r>
    </w:p>
    <w:p>
      <w:r>
        <w:br w:type="page"/>
      </w:r>
    </w:p>
    <w:p>
      <w:pPr>
        <w:pStyle w:val="Heading1"/>
      </w:pPr>
      <w:r>
        <w:t>Служебное приложение. Требует решения эксперта</w:t>
      </w:r>
    </w:p>
    <w:p>
      <w:r>
        <w:rPr>
          <w:b w:val="0"/>
          <w:i/>
          <w:color w:val="6E6E6E"/>
        </w:rPr>
        <w:t>Не входит в текст клинической рекомендации.</w:t>
      </w:r>
    </w:p>
    <w:p>
      <w:pPr>
        <w:pStyle w:val="Heading2"/>
      </w:pPr>
      <w:r>
        <w:t>Возможные противоречия (3)</w:t>
      </w:r>
    </w:p>
    <w:p>
      <w:r>
        <w:rPr>
          <w:b w:val="0"/>
          <w:i w:val="0"/>
        </w:rPr>
        <w:t>• Длительность профилактики: рекомендация 24–72 часа (ev_60b20dc57d11) vs. данные исследования о том, что однодневная профилактика не хуже (ev_d3a61fbf71b9) (карточки: ev_60b20dc57d11, ev_d3a61fbf71b9)</w:t>
      </w:r>
    </w:p>
    <w:p>
      <w:r>
        <w:rPr>
          <w:b w:val="0"/>
          <w:i w:val="0"/>
        </w:rPr>
        <w:t>• Рутинное использование ванкомицина: исследование не выявило различий (ev_97cc963b7563) vs. рекомендация против рутинного использования (ev_fd79e4fdbd4d) (карточки: ev_97cc963b7563, ev_fd79e4fdbd4d)</w:t>
      </w:r>
    </w:p>
    <w:p>
      <w:r>
        <w:rPr>
          <w:b w:val="0"/>
          <w:i w:val="0"/>
        </w:rPr>
        <w:t>• Нефротоксичность гентамицина: риск при дисфункции почек (ev_b987b9403434) vs. отсутствие увеличения частоты при нормальной функции почек (ev_5331e73d68ce) (карточки: ev_b987b9403434, ev_5331e73d68ce)</w:t>
      </w:r>
    </w:p>
    <w:p>
      <w:pPr>
        <w:pStyle w:val="Heading2"/>
      </w:pPr>
      <w:r>
        <w:t>Неподтверждённые карточки (1)</w:t>
      </w:r>
    </w:p>
    <w:p>
      <w:r>
        <w:rPr>
          <w:b w:val="0"/>
          <w:i w:val="0"/>
          <w:sz w:val="20"/>
        </w:rPr>
        <w:t>• [требует проверки] Ретроспективное исследование случай–контроль 1492 открытых переломов по Dunkel и соавт. показало после многомерного анализа, что не было значимого различия в риске инфекции для однодневной профилактики в сравнении с более длительными схемами. (стр. 2, ev_d3a61fbf71b9): Числа формулировки не найдены ни в цитате, ни рядом с ней: 1492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