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Adverse events are coded according to MedDRA version 23.0</w:t>
      </w:r>
      <w:r>
        <w:rPr/>
        <w:br/>
      </w:r>
      <w:r>
        <w:rPr>
          <w:rFonts w:ascii="Times New Roman" w:hAnsi="Times New Roman"/>
          <w:sz w:val="18"/>
        </w:rPr>
        <w:t>adam-adae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