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b/>
          <w:sz w:val="24"/>
        </w:rPr>
        <w:t>Adverse Event Count by Treatment Group</w:t>
      </w:r>
      <w:r>
        <w:rPr/>
        <w:br/>
      </w:r>
      <w:r>
        <w:rPr>
          <w:rFonts w:ascii="Times New Roman" w:hAnsi="Times New Roman"/>
          <w:sz w:val="24"/>
        </w:rPr>
        <w:t>(An example)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