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3"/>
        <w:gridCol w:w="2225"/>
        <w:gridCol w:w="2225"/>
        <w:gridCol w:w="2225"/>
      </w:tblGrid>
      <w:tr>
        <w:trPr/>
        <w:tc>
          <w:tcPr>
            <w:tcW w:w="5563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in population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</w:t>
            </w:r>
            <w:r>
              <w:rPr>
                <w:rFonts w:ascii="Times New Roman" w:hAnsi="Times New Roman"/>
                <w:sz w:val="18"/>
              </w:rPr>
              <w:t>with one or more severe AE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</w:t>
            </w:r>
            <w:r>
              <w:rPr>
                <w:rFonts w:ascii="Times New Roman" w:hAnsi="Times New Roman"/>
                <w:sz w:val="18"/>
              </w:rPr>
              <w:t>with no severe AE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cardiac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myocardial infarction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gastrointestinal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gastrointestinal haemorrhage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general disorders and administration site conditions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warmth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3"/>
        <w:gridCol w:w="2225"/>
        <w:gridCol w:w="2225"/>
        <w:gridCol w:w="2225"/>
      </w:tblGrid>
      <w:tr>
        <w:trPr/>
        <w:tc>
          <w:tcPr>
            <w:tcW w:w="556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general disorders and administration site conditions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sudden death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infections and infestations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nasopharyngitis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injury, poisoning and procedural complications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hip fracture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musculoskeletal and connective tissue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muscle spasms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neoplasms benign, malignant and unspecified (incl cysts and polyps)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colon cancer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prostate cancer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nervous system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partial seizures with secondary generalisation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stupor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syncope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transient ischaemic attack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4"/>
        <w:gridCol w:w="2225"/>
        <w:gridCol w:w="2225"/>
        <w:gridCol w:w="2225"/>
      </w:tblGrid>
      <w:tr>
        <w:trPr/>
        <w:tc>
          <w:tcPr>
            <w:tcW w:w="556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psychiatric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reproductive system and breast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skin and subcutaneous tissue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blister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1223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adam-adae]</w:t>
      </w:r>
    </w:p>
    <w:sectPr>
      <w:type w:val="nextPage"/>
      <w:pgSz w:orient="landscape" w:w="15840" w:h="12240"/>
      <w:pgMar w:left="1440" w:right="1440" w:header="0" w:top="288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