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Analysis of Subjects With Specific Adverse Events</w:t>
      </w:r>
      <w:r>
        <w:rPr/>
        <w:br/>
      </w:r>
      <w:r>
        <w:rPr>
          <w:rFonts w:ascii="Times New Roman" w:hAnsi="Times New Roman"/>
          <w:sz w:val="24"/>
        </w:rPr>
        <w:t>(Incidence &gt; 5 Subjects in One or More Treatment Groups)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900"/>
        <w:gridCol w:w="900"/>
        <w:gridCol w:w="900"/>
        <w:gridCol w:w="900"/>
        <w:gridCol w:w="900"/>
        <w:gridCol w:w="899"/>
      </w:tblGrid>
      <w:tr>
        <w:trPr/>
        <w:tc>
          <w:tcPr>
            <w:tcW w:w="36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High Dose</w:t>
            </w:r>
          </w:p>
        </w:tc>
        <w:tc>
          <w:tcPr>
            <w:tcW w:w="1799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Low Dose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900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900" w:type="dxa"/>
            <w:tcBorders>
              <w:top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899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27.85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8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28.57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13.04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13.04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17.72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19.48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32.91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29.87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8.86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11.69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18.99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15.58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11.39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11.69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15.19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10.39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10.13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NASOPHARYNGITIS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13.92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16.88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10.13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9.09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VOMITING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8.86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7.79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8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7.79</w:t>
            </w:r>
          </w:p>
        </w:tc>
      </w:tr>
      <w:tr>
        <w:trPr/>
        <w:tc>
          <w:tcPr>
            <w:tcW w:w="8999" w:type="dxa"/>
            <w:gridSpan w:val="7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†</w:t>
            </w:r>
            <w:r>
              <w:rPr>
                <w:rFonts w:ascii="Times New Roman" w:hAnsi="Times New Roman"/>
                <w:sz w:val="18"/>
              </w:rPr>
              <w:t>This is footnote 1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This is footnote 2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xxx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