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ANCOVA of Change from Baseline at Week 20</w:t>
      </w:r>
      <w:r>
        <w:rPr/>
        <w:br/>
      </w:r>
      <w:r>
        <w:rPr>
          <w:rFonts w:ascii="Times New Roman" w:hAnsi="Times New Roman"/>
          <w:sz w:val="24"/>
        </w:rPr>
        <w:t>Missing Data Approach</w:t>
      </w:r>
      <w:r>
        <w:rPr/>
        <w:br/>
      </w:r>
      <w:r>
        <w:rPr>
          <w:rFonts w:ascii="Times New Roman" w:hAnsi="Times New Roman"/>
          <w:sz w:val="24"/>
        </w:rPr>
        <w:t>Analysis Population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450"/>
        <w:gridCol w:w="1350"/>
        <w:gridCol w:w="450"/>
        <w:gridCol w:w="1350"/>
        <w:gridCol w:w="450"/>
        <w:gridCol w:w="1350"/>
        <w:gridCol w:w="2249"/>
      </w:tblGrid>
      <w:tr>
        <w:trPr/>
        <w:tc>
          <w:tcPr>
            <w:tcW w:w="13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Baseline</w:t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Week 20</w:t>
            </w:r>
          </w:p>
        </w:tc>
        <w:tc>
          <w:tcPr>
            <w:tcW w:w="4049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Change from Baseline</w:t>
            </w:r>
          </w:p>
        </w:tc>
      </w:tr>
      <w:tr>
        <w:trPr/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LS Mean (95% CI)</w:t>
            </w: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</w:p>
        </w:tc>
      </w:tr>
      <w:tr>
        <w:trPr/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Study Drug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16.6 (4.41)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-6.6 (5.95)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-7.0 (9.16)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-7.0 (-8.58, -5.38)</w:t>
            </w:r>
          </w:p>
        </w:tc>
      </w:tr>
      <w:tr>
        <w:trPr/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18.4 (6.34)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-9.0 (7.04)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-8.7 (8.54)</w:t>
            </w:r>
          </w:p>
        </w:tc>
        <w:tc>
          <w:tcPr>
            <w:tcW w:w="22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-8.7 (-10.17, -7.18)</w:t>
            </w:r>
          </w:p>
        </w:tc>
      </w:tr>
      <w:tr>
        <w:trPr/>
        <w:tc>
          <w:tcPr>
            <w:tcW w:w="3600" w:type="dxa"/>
            <w:gridSpan w:val="4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Pairwise Comparison</w:t>
            </w:r>
          </w:p>
        </w:tc>
        <w:tc>
          <w:tcPr>
            <w:tcW w:w="3150" w:type="dxa"/>
            <w:gridSpan w:val="3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Difference in LS Mean (95% CI)</w:t>
            </w: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p-Value</w:t>
            </w:r>
          </w:p>
        </w:tc>
      </w:tr>
      <w:tr>
        <w:trPr/>
        <w:tc>
          <w:tcPr>
            <w:tcW w:w="3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Study Drug vs. Placebo</w:t>
            </w:r>
          </w:p>
        </w:tc>
        <w:tc>
          <w:tcPr>
            <w:tcW w:w="3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 (-0.49, 3.88)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0.130</w:t>
            </w:r>
          </w:p>
        </w:tc>
      </w:tr>
      <w:tr>
        <w:trPr/>
        <w:tc>
          <w:tcPr>
            <w:tcW w:w="899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Root Mean Squared Error of Change = 6.23</w:t>
            </w:r>
          </w:p>
        </w:tc>
      </w:tr>
      <w:tr>
        <w:trPr/>
        <w:tc>
          <w:tcPr>
            <w:tcW w:w="8999" w:type="dxa"/>
            <w:gridSpan w:val="8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  <w:r>
              <w:rPr>
                <w:rFonts w:ascii="Times New Roman" w:hAnsi="Times New Roman"/>
                <w:sz w:val="18"/>
              </w:rPr>
              <w:t>Based on an ANCOVA model.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ANCOVA = Analysis of Covariance, CI = Confidence Interval, LS = Least Squares, SD = Standard Deviation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[study999: adam-adeff]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