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</w:tbl>
    <w:p>
      <w:pPr>
        <w:pStyle w:val="Normal"/>
        <w:widowControl w:val="false"/>
        <w:suppressAutoHyphens w:val="false"/>
        <w:bidi w:val="0"/>
        <w:spacing w:before="15" w:after="15"/>
        <w:ind w:left="0" w:right="0" w:hanging="0"/>
        <w:jc w:val="left"/>
        <w:rPr/>
      </w:pPr>
      <w:r>
        <w:rPr>
          <w:rFonts w:ascii="Times New Roman" w:hAnsi="Times New Roman"/>
          <w:sz w:val="18"/>
        </w:rPr>
        <w:t>Adverse events are coded according to MedDRA version 23.0</w:t>
      </w:r>
      <w:r>
        <w:rPr/>
        <w:br/>
      </w:r>
      <w:r>
        <w:rPr>
          <w:rFonts w:ascii="Times New Roman" w:hAnsi="Times New Roman"/>
          <w:sz w:val="18"/>
        </w:rPr>
        <w:t>adam-adae</w:t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