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3861386138614"/>
        <w:gridCol w:w="2872.8712871287125"/>
        <w:gridCol w:w="2872.8712871287125"/>
        <w:gridCol w:w="2872.8712871287125"/>
        <w:tblGridChange w:id="0">
          <w:tblGrid>
            <w:gridCol w:w="741.3861386138614"/>
            <w:gridCol w:w="2872.8712871287125"/>
            <w:gridCol w:w="2872.8712871287125"/>
            <w:gridCol w:w="2872.871287128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Household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Specs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$29,479/yr.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 countertops, laminate flooring, no washer/dryer, standard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$25,553/yr.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 countertops, laminate flooring, no washer/dryer, standard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$45,750/yr.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 countertops, laminate flooring, no washer/dryer, standard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$57,950/yr.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 countertops, laminate flooring, no washer/dryer, standard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$37,540/yr.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 countertops, laminate flooring, no washer/dryer, standard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$102,003/yr.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Marble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$86,432/yr.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$210,967/yr.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$95,423/yr.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$82,450/yr.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Marble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$80,050/yr.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Marble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$95,791/yr.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$97,947/yr.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bedroom, 1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$99,540/yr.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$102,003/yr.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$96,432/yr.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$150,460/yr.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bedroom, 2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$125,530/yr.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 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bedroom, 3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$227,050/yr.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Granite countertops, Hardwood Flooring, in-unit washer/dryer, walk in closet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 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bedroom, 3 bath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$352,493/yr.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Marble countertops, Hardwood Flooring, in-unit washer/dryer, walk in closet, balcony, heated floors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