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0"/>
          <w:szCs w:val="20"/>
          <w:u w:val="single"/>
        </w:rPr>
      </w:pPr>
      <w:r w:rsidDel="00000000" w:rsidR="00000000" w:rsidRPr="00000000">
        <w:rPr>
          <w:b w:val="1"/>
          <w:sz w:val="20"/>
          <w:szCs w:val="20"/>
          <w:u w:val="single"/>
          <w:rtl w:val="0"/>
        </w:rPr>
        <w:t xml:space="preserve">Do Now</w:t>
      </w:r>
    </w:p>
    <w:p w:rsidR="00000000" w:rsidDel="00000000" w:rsidP="00000000" w:rsidRDefault="00000000" w:rsidRPr="00000000" w14:paraId="00000002">
      <w:pPr>
        <w:rPr>
          <w:sz w:val="20"/>
          <w:szCs w:val="20"/>
        </w:rPr>
      </w:pPr>
      <w:r w:rsidDel="00000000" w:rsidR="00000000" w:rsidRPr="00000000">
        <w:rPr>
          <w:sz w:val="20"/>
          <w:szCs w:val="20"/>
          <w:rtl w:val="0"/>
        </w:rPr>
        <w:t xml:space="preserve">Think Pair Share: Discuss social expectations around gender with your partner.</w:t>
      </w:r>
    </w:p>
    <w:p w:rsidR="00000000" w:rsidDel="00000000" w:rsidP="00000000" w:rsidRDefault="00000000" w:rsidRPr="00000000" w14:paraId="00000003">
      <w:pPr>
        <w:numPr>
          <w:ilvl w:val="0"/>
          <w:numId w:val="2"/>
        </w:numPr>
        <w:ind w:left="720" w:hanging="360"/>
        <w:rPr>
          <w:sz w:val="20"/>
          <w:szCs w:val="20"/>
          <w:u w:val="none"/>
        </w:rPr>
      </w:pPr>
      <w:r w:rsidDel="00000000" w:rsidR="00000000" w:rsidRPr="00000000">
        <w:rPr>
          <w:sz w:val="20"/>
          <w:szCs w:val="20"/>
          <w:rtl w:val="0"/>
        </w:rPr>
        <w:t xml:space="preserve">How are boys and girls supposed to behave? How do children learn about gender? How does society react to young people who don’t fulfill gender roles?</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b w:val="1"/>
          <w:sz w:val="20"/>
          <w:szCs w:val="20"/>
          <w:u w:val="single"/>
        </w:rPr>
      </w:pPr>
      <w:r w:rsidDel="00000000" w:rsidR="00000000" w:rsidRPr="00000000">
        <w:rPr>
          <w:b w:val="1"/>
          <w:sz w:val="20"/>
          <w:szCs w:val="20"/>
          <w:u w:val="single"/>
          <w:rtl w:val="0"/>
        </w:rPr>
        <w:t xml:space="preserve">Guided Instruction</w:t>
      </w:r>
    </w:p>
    <w:p w:rsidR="00000000" w:rsidDel="00000000" w:rsidP="00000000" w:rsidRDefault="00000000" w:rsidRPr="00000000" w14:paraId="00000006">
      <w:pPr>
        <w:rPr>
          <w:sz w:val="20"/>
          <w:szCs w:val="20"/>
        </w:rPr>
      </w:pPr>
      <w:r w:rsidDel="00000000" w:rsidR="00000000" w:rsidRPr="00000000">
        <w:rPr>
          <w:sz w:val="20"/>
          <w:szCs w:val="20"/>
          <w:rtl w:val="0"/>
        </w:rPr>
        <w:t xml:space="preserve">Read chapter 9 aloud.</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b w:val="1"/>
          <w:sz w:val="20"/>
          <w:szCs w:val="20"/>
          <w:u w:val="single"/>
        </w:rPr>
      </w:pPr>
      <w:r w:rsidDel="00000000" w:rsidR="00000000" w:rsidRPr="00000000">
        <w:rPr>
          <w:b w:val="1"/>
          <w:sz w:val="20"/>
          <w:szCs w:val="20"/>
          <w:u w:val="single"/>
          <w:rtl w:val="0"/>
        </w:rPr>
        <w:t xml:space="preserve">Independent Practice</w:t>
      </w:r>
    </w:p>
    <w:p w:rsidR="00000000" w:rsidDel="00000000" w:rsidP="00000000" w:rsidRDefault="00000000" w:rsidRPr="00000000" w14:paraId="00000009">
      <w:pPr>
        <w:rPr>
          <w:sz w:val="20"/>
          <w:szCs w:val="20"/>
        </w:rPr>
      </w:pPr>
      <w:r w:rsidDel="00000000" w:rsidR="00000000" w:rsidRPr="00000000">
        <w:rPr>
          <w:sz w:val="20"/>
          <w:szCs w:val="20"/>
          <w:rtl w:val="0"/>
        </w:rPr>
        <w:t xml:space="preserve">Journal Prompt</w:t>
      </w:r>
    </w:p>
    <w:p w:rsidR="00000000" w:rsidDel="00000000" w:rsidP="00000000" w:rsidRDefault="00000000" w:rsidRPr="00000000" w14:paraId="0000000A">
      <w:pPr>
        <w:numPr>
          <w:ilvl w:val="0"/>
          <w:numId w:val="1"/>
        </w:numPr>
        <w:ind w:left="720" w:hanging="360"/>
        <w:rPr>
          <w:sz w:val="20"/>
          <w:szCs w:val="20"/>
          <w:u w:val="none"/>
        </w:rPr>
      </w:pPr>
      <w:r w:rsidDel="00000000" w:rsidR="00000000" w:rsidRPr="00000000">
        <w:rPr>
          <w:sz w:val="20"/>
          <w:szCs w:val="20"/>
          <w:rtl w:val="0"/>
        </w:rPr>
        <w:t xml:space="preserve">On page 100, Atticus says to his brother Jack, “I hope and pray I can get Scout and Jem through it without bitterness, and most of all, without catching Maycomb’s usual disease.” a. What does Atticus most likely mean by this metaphor? b. What are the connotations of the word “disease”?  c. What does Atticus’s word choice reveal about his character?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