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28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0923857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Помечено Batching Static всё неподвижное окружение под 'Terrain' (600 рендереров; анимированное/физика пропущены). В play mode: 25 static-батчей, 924 static-batched draw call'а (было ~0), SetPass calls ~180 под URP SRP Batcher.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GPU Instancing на 30 материалах окружения (камни/деревья/трава/пропы).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Small/Materials/FenceMaterial.mat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Small/Materials/WheelMaterial.mat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Small/Materials/WoodenSignMaterial.mat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Nature/Materials/Branches/Branch.mat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Nature/Materials/Bushes/Bush_03.mat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Nature/Materials/Flowers/Flower.mat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Nature/Materials/Trees/Broadleaf_Red.mat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Nature/Materials/Trees/Tree_Bark.mat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Nature/Materials/Trees/Willow_Branch_Green.mat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Nature/Materials/Waterplants/Waterlily_Bottom.mat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Assets/AssetStore/Tower/Materials/Tower.mat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29.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UI-текстуры Max Size 2048 -&gt; 1024 (crunch сохранён)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