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98"/>
        <w:gridCol w:w="4698"/>
      </w:tblGrid>
      <w:tr>
        <w:trPr>
          <w:trHeight w:hRule="exact" w:val="786"/>
        </w:trPr>
        <w:tc>
          <w:tcPr>
            <w:tcW w:type="dxa" w:w="9368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10"/>
        </w:trPr>
        <w:tc>
          <w:tcPr>
            <w:tcW w:type="dxa" w:w="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3840" cy="2438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exact" w:before="60" w:after="0"/>
              <w:ind w:left="70" w:right="0" w:firstLine="0"/>
              <w:jc w:val="left"/>
            </w:pPr>
            <w:r>
              <w:rPr>
                <w:w w:val="101.26706291647518"/>
                <w:rFonts w:ascii="LMSans10" w:hAnsi="LMSans10" w:eastAsia="LMSans10"/>
                <w:b/>
                <w:i w:val="0"/>
                <w:color w:val="000000"/>
                <w:sz w:val="34"/>
              </w:rPr>
              <w:t>StarCoder 2 and The Stack v2: The Next Generation</w:t>
            </w:r>
          </w:p>
        </w:tc>
      </w:tr>
      <w:tr>
        <w:trPr>
          <w:trHeight w:hRule="exact" w:val="5244"/>
        </w:trPr>
        <w:tc>
          <w:tcPr>
            <w:tcW w:type="dxa" w:w="93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50" w:val="left"/>
                <w:tab w:pos="3376" w:val="left"/>
                <w:tab w:pos="5434" w:val="left"/>
                <w:tab w:pos="7446" w:val="left"/>
              </w:tabs>
              <w:autoSpaceDE w:val="0"/>
              <w:widowControl/>
              <w:spacing w:line="288" w:lineRule="exact" w:before="256" w:after="0"/>
              <w:ind w:left="36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Anton Lozhkov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Raymond Li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Loubna Ben Allal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Federico Cassano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4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Joel Lamy-Poirier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</w:t>
            </w:r>
          </w:p>
          <w:p>
            <w:pPr>
              <w:autoSpaceDN w:val="0"/>
              <w:tabs>
                <w:tab w:pos="1872" w:val="left"/>
                <w:tab w:pos="3014" w:val="left"/>
                <w:tab w:pos="4972" w:val="left"/>
                <w:tab w:pos="6282" w:val="left"/>
                <w:tab w:pos="7852" w:val="left"/>
              </w:tabs>
              <w:autoSpaceDE w:val="0"/>
              <w:widowControl/>
              <w:spacing w:line="288" w:lineRule="exact" w:before="0" w:after="0"/>
              <w:ind w:left="22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Nouamane Tazi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Ao Tang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3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Dmytro Pykhtar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3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Jiawei Liu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7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Yuxiang Wei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7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Tianyang Liu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25</w:t>
            </w:r>
          </w:p>
          <w:p>
            <w:pPr>
              <w:autoSpaceDN w:val="0"/>
              <w:tabs>
                <w:tab w:pos="1296" w:val="left"/>
                <w:tab w:pos="3158" w:val="left"/>
                <w:tab w:pos="4898" w:val="left"/>
                <w:tab w:pos="6790" w:val="left"/>
                <w:tab w:pos="8304" w:val="left"/>
              </w:tabs>
              <w:autoSpaceDE w:val="0"/>
              <w:widowControl/>
              <w:spacing w:line="286" w:lineRule="exact" w:before="0" w:after="0"/>
              <w:ind w:left="20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Max Tian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Denis Kocetkov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Arthur Zucker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Younes Belkada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Zijian Wang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5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Qian Liu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12</w:t>
            </w:r>
          </w:p>
          <w:p>
            <w:pPr>
              <w:autoSpaceDN w:val="0"/>
              <w:tabs>
                <w:tab w:pos="2280" w:val="left"/>
                <w:tab w:pos="3982" w:val="left"/>
                <w:tab w:pos="5354" w:val="left"/>
                <w:tab w:pos="6988" w:val="left"/>
                <w:tab w:pos="8716" w:val="left"/>
              </w:tabs>
              <w:autoSpaceDE w:val="0"/>
              <w:widowControl/>
              <w:spacing w:line="288" w:lineRule="exact" w:before="0" w:after="0"/>
              <w:ind w:left="4" w:right="0" w:firstLine="0"/>
              <w:jc w:val="left"/>
            </w:pPr>
            <w:r>
              <w:rPr>
                <w:w w:val="98.82577896118164"/>
                <w:rFonts w:ascii="LMRoman10" w:hAnsi="LMRoman10" w:eastAsia="LMRoman10"/>
                <w:b/>
                <w:i w:val="0"/>
                <w:color w:val="000000"/>
                <w:sz w:val="20"/>
              </w:rPr>
              <w:t>Dmitry Abulkhanov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5 </w:t>
            </w:r>
            <w:r>
              <w:tab/>
            </w:r>
            <w:r>
              <w:rPr>
                <w:w w:val="98.82577896118164"/>
                <w:rFonts w:ascii="LMRoman10" w:hAnsi="LMRoman10" w:eastAsia="LMRoman10"/>
                <w:b/>
                <w:i w:val="0"/>
                <w:color w:val="000000"/>
                <w:sz w:val="20"/>
              </w:rPr>
              <w:t>Indraneil Paul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5 </w:t>
            </w:r>
            <w:r>
              <w:rPr>
                <w:w w:val="98.82577896118164"/>
                <w:rFonts w:ascii="LMRoman10" w:hAnsi="LMRoman10" w:eastAsia="LMRoman10"/>
                <w:b/>
                <w:i w:val="0"/>
                <w:color w:val="000000"/>
                <w:sz w:val="20"/>
              </w:rPr>
              <w:t>Zhuang Li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14 </w:t>
            </w:r>
            <w:r>
              <w:tab/>
            </w:r>
            <w:r>
              <w:rPr>
                <w:w w:val="98.82577896118164"/>
                <w:rFonts w:ascii="LMRoman10" w:hAnsi="LMRoman10" w:eastAsia="LMRoman10"/>
                <w:b/>
                <w:i w:val="0"/>
                <w:color w:val="000000"/>
                <w:sz w:val="20"/>
              </w:rPr>
              <w:t>Wen-Ding Li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26 </w:t>
            </w:r>
            <w:r>
              <w:tab/>
            </w:r>
            <w:r>
              <w:rPr>
                <w:w w:val="98.82577896118164"/>
                <w:rFonts w:ascii="LMRoman10" w:hAnsi="LMRoman10" w:eastAsia="LMRoman10"/>
                <w:b/>
                <w:i w:val="0"/>
                <w:color w:val="000000"/>
                <w:sz w:val="20"/>
              </w:rPr>
              <w:t>Megan Risdal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24 </w:t>
            </w:r>
            <w:r>
              <w:tab/>
            </w:r>
            <w:r>
              <w:rPr>
                <w:w w:val="98.82577896118164"/>
                <w:rFonts w:ascii="LMRoman10" w:hAnsi="LMRoman10" w:eastAsia="LMRoman10"/>
                <w:b/>
                <w:i w:val="0"/>
                <w:color w:val="000000"/>
                <w:sz w:val="20"/>
              </w:rPr>
              <w:t>Jia Li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5</w:t>
            </w:r>
          </w:p>
          <w:p>
            <w:pPr>
              <w:autoSpaceDN w:val="0"/>
              <w:tabs>
                <w:tab w:pos="1310" w:val="left"/>
                <w:tab w:pos="3482" w:val="left"/>
                <w:tab w:pos="6122" w:val="left"/>
                <w:tab w:pos="8502" w:val="left"/>
              </w:tabs>
              <w:autoSpaceDE w:val="0"/>
              <w:widowControl/>
              <w:spacing w:line="288" w:lineRule="exact" w:before="0" w:after="0"/>
              <w:ind w:left="56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Jian Zhu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16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Terry Yue Zhuo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14</w:t>
            </w:r>
            <w:r>
              <w:rPr>
                <w:rFonts w:ascii="LMMathItalic7" w:hAnsi="LMMathItalic7" w:eastAsia="LMMathItalic7"/>
                <w:b w:val="0"/>
                <w:i/>
                <w:color w:val="000000"/>
                <w:sz w:val="14"/>
              </w:rPr>
              <w:t>,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15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Evgenii Zheltonozhskii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13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Nii Osae Osae Dade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28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Wenhao</w:t>
            </w:r>
          </w:p>
          <w:p>
            <w:pPr>
              <w:autoSpaceDN w:val="0"/>
              <w:tabs>
                <w:tab w:pos="822" w:val="left"/>
                <w:tab w:pos="2388" w:val="left"/>
                <w:tab w:pos="3974" w:val="left"/>
                <w:tab w:pos="5398" w:val="left"/>
                <w:tab w:pos="6794" w:val="left"/>
                <w:tab w:pos="8334" w:val="left"/>
              </w:tabs>
              <w:autoSpaceDE w:val="0"/>
              <w:widowControl/>
              <w:spacing w:line="288" w:lineRule="exact" w:before="0" w:after="0"/>
              <w:ind w:left="172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Yu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20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Lucas Krauß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5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Naman Jain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27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Yixuan Su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30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Xuanli He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23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Manan Dey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31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Eduardo</w:t>
            </w:r>
          </w:p>
          <w:p>
            <w:pPr>
              <w:autoSpaceDN w:val="0"/>
              <w:tabs>
                <w:tab w:pos="1136" w:val="left"/>
                <w:tab w:pos="2604" w:val="left"/>
                <w:tab w:pos="4956" w:val="left"/>
                <w:tab w:pos="6630" w:val="left"/>
              </w:tabs>
              <w:autoSpaceDE w:val="0"/>
              <w:widowControl/>
              <w:spacing w:line="288" w:lineRule="exact" w:before="0" w:after="0"/>
              <w:ind w:left="284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Abati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5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Yekun Chai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5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Niklas Muennighoff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29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Xiangru Tang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5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Muhtasham Oblokulov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18</w:t>
            </w:r>
          </w:p>
          <w:p>
            <w:pPr>
              <w:autoSpaceDN w:val="0"/>
              <w:tabs>
                <w:tab w:pos="2622" w:val="left"/>
                <w:tab w:pos="4282" w:val="left"/>
                <w:tab w:pos="6100" w:val="left"/>
                <w:tab w:pos="8050" w:val="left"/>
              </w:tabs>
              <w:autoSpaceDE w:val="0"/>
              <w:widowControl/>
              <w:spacing w:line="288" w:lineRule="exact" w:before="0" w:after="0"/>
              <w:ind w:left="310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Christopher Akiki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9</w:t>
            </w:r>
            <w:r>
              <w:rPr>
                <w:rFonts w:ascii="LMMathItalic7" w:hAnsi="LMMathItalic7" w:eastAsia="LMMathItalic7"/>
                <w:b w:val="0"/>
                <w:i/>
                <w:color w:val="000000"/>
                <w:sz w:val="14"/>
              </w:rPr>
              <w:t>,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10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Marc Marone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8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Chenghao Mou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5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Mayank Mishra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19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Alex Gu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17</w:t>
            </w:r>
          </w:p>
          <w:p>
            <w:pPr>
              <w:autoSpaceDN w:val="0"/>
              <w:tabs>
                <w:tab w:pos="1608" w:val="left"/>
                <w:tab w:pos="2754" w:val="left"/>
                <w:tab w:pos="4436" w:val="left"/>
                <w:tab w:pos="6342" w:val="left"/>
                <w:tab w:pos="7998" w:val="left"/>
              </w:tabs>
              <w:autoSpaceDE w:val="0"/>
              <w:widowControl/>
              <w:spacing w:line="288" w:lineRule="exact" w:before="0" w:after="0"/>
              <w:ind w:left="38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Binyuan Hui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5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Tri Dao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Armel Zebaze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Olivier Dehaene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Nicolas Patry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Canwen Xu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25</w:t>
            </w:r>
          </w:p>
          <w:p>
            <w:pPr>
              <w:autoSpaceDN w:val="0"/>
              <w:tabs>
                <w:tab w:pos="1984" w:val="left"/>
                <w:tab w:pos="3872" w:val="left"/>
                <w:tab w:pos="5888" w:val="left"/>
                <w:tab w:pos="8002" w:val="left"/>
              </w:tabs>
              <w:autoSpaceDE w:val="0"/>
              <w:widowControl/>
              <w:spacing w:line="288" w:lineRule="exact" w:before="0" w:after="0"/>
              <w:ind w:left="24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Julian McAuley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25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Torsten Scholak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Sebastien Paquet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Jennifer Robinson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6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Carolyn Jane</w:t>
            </w:r>
          </w:p>
          <w:p>
            <w:pPr>
              <w:autoSpaceDN w:val="0"/>
              <w:tabs>
                <w:tab w:pos="1580" w:val="left"/>
                <w:tab w:pos="3644" w:val="left"/>
                <w:tab w:pos="5648" w:val="left"/>
                <w:tab w:pos="7592" w:val="left"/>
              </w:tabs>
              <w:autoSpaceDE w:val="0"/>
              <w:widowControl/>
              <w:spacing w:line="288" w:lineRule="exact" w:before="0" w:after="0"/>
              <w:ind w:left="252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Anderson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22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Nicolas Chapados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Mostofa Patwary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3 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Nima Tajbakhsh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3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Yacine Jernite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</w:t>
            </w:r>
          </w:p>
          <w:p>
            <w:pPr>
              <w:autoSpaceDN w:val="0"/>
              <w:tabs>
                <w:tab w:pos="2712" w:val="left"/>
                <w:tab w:pos="4638" w:val="left"/>
                <w:tab w:pos="6218" w:val="left"/>
                <w:tab w:pos="7866" w:val="left"/>
              </w:tabs>
              <w:autoSpaceDE w:val="0"/>
              <w:widowControl/>
              <w:spacing w:line="286" w:lineRule="exact" w:before="0" w:after="0"/>
              <w:ind w:left="4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Carlos Muñoz Ferrandis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Lingming Zhang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7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Sean Hughes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6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Thomas Wolf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Arjun Guha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LMMathItalic7" w:hAnsi="LMMathItalic7" w:eastAsia="LMMathItalic7"/>
                <w:b w:val="0"/>
                <w:i/>
                <w:color w:val="000000"/>
                <w:sz w:val="14"/>
              </w:rPr>
              <w:t>,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11</w:t>
            </w:r>
          </w:p>
          <w:p>
            <w:pPr>
              <w:autoSpaceDN w:val="0"/>
              <w:tabs>
                <w:tab w:pos="5026" w:val="left"/>
              </w:tabs>
              <w:autoSpaceDE w:val="0"/>
              <w:widowControl/>
              <w:spacing w:line="288" w:lineRule="exact" w:before="0" w:after="0"/>
              <w:ind w:left="2654" w:right="0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Leandro von Werra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LMMathItalic7" w:hAnsi="LMMathItalic7" w:eastAsia="LMMathItalic7"/>
                <w:b w:val="0"/>
                <w:i/>
                <w:color w:val="000000"/>
                <w:sz w:val="14"/>
              </w:rPr>
              <w:t>,ı</w:t>
            </w:r>
            <w:r>
              <w:tab/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Harm de Vries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LMMathItalic7" w:hAnsi="LMMathItalic7" w:eastAsia="LMMathItalic7"/>
                <w:b w:val="0"/>
                <w:i/>
                <w:color w:val="000000"/>
                <w:sz w:val="14"/>
              </w:rPr>
              <w:t>,ı</w:t>
            </w:r>
          </w:p>
          <w:p>
            <w:pPr>
              <w:autoSpaceDN w:val="0"/>
              <w:tabs>
                <w:tab w:pos="1536" w:val="left"/>
                <w:tab w:pos="3666" w:val="left"/>
                <w:tab w:pos="4532" w:val="left"/>
                <w:tab w:pos="6916" w:val="left"/>
                <w:tab w:pos="8284" w:val="left"/>
              </w:tabs>
              <w:autoSpaceDE w:val="0"/>
              <w:widowControl/>
              <w:spacing w:line="288" w:lineRule="exact" w:before="70" w:after="0"/>
              <w:ind w:left="0" w:right="0" w:firstLine="0"/>
              <w:jc w:val="left"/>
            </w:pP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Hugging Face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ServiceNow Research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Nvidia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Northeastern University 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Independent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6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ServiceNow</w:t>
            </w:r>
          </w:p>
          <w:p>
            <w:pPr>
              <w:autoSpaceDN w:val="0"/>
              <w:tabs>
                <w:tab w:pos="3898" w:val="left"/>
                <w:tab w:pos="6424" w:val="left"/>
                <w:tab w:pos="8294" w:val="left"/>
              </w:tabs>
              <w:autoSpaceDE w:val="0"/>
              <w:widowControl/>
              <w:spacing w:line="286" w:lineRule="exact" w:before="0" w:after="0"/>
              <w:ind w:left="64" w:right="0" w:firstLine="0"/>
              <w:jc w:val="left"/>
            </w:pP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7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University of Illinois Urbana-Champaign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8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Johns Hopkins University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9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Leipzig University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10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ScaDS.AI</w:t>
            </w:r>
          </w:p>
          <w:p>
            <w:pPr>
              <w:autoSpaceDN w:val="0"/>
              <w:tabs>
                <w:tab w:pos="1052" w:val="left"/>
                <w:tab w:pos="2408" w:val="left"/>
                <w:tab w:pos="6354" w:val="left"/>
                <w:tab w:pos="8362" w:val="left"/>
              </w:tabs>
              <w:autoSpaceDE w:val="0"/>
              <w:widowControl/>
              <w:spacing w:line="286" w:lineRule="exact" w:before="0" w:after="0"/>
              <w:ind w:left="72" w:right="0" w:firstLine="0"/>
              <w:jc w:val="left"/>
            </w:pP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11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Roblox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12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Sea AI Lab 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13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Technion – Israel Institute of Technology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14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Monash University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15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CSIRO’s</w:t>
            </w:r>
          </w:p>
          <w:p>
            <w:pPr>
              <w:autoSpaceDN w:val="0"/>
              <w:tabs>
                <w:tab w:pos="940" w:val="left"/>
                <w:tab w:pos="3992" w:val="left"/>
                <w:tab w:pos="4758" w:val="left"/>
                <w:tab w:pos="7852" w:val="left"/>
              </w:tabs>
              <w:autoSpaceDE w:val="0"/>
              <w:widowControl/>
              <w:spacing w:line="284" w:lineRule="exact" w:before="0" w:after="0"/>
              <w:ind w:left="112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Data61 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University of British Columbia 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17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MIT 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18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Technical University of Munich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19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IBM Research</w:t>
            </w:r>
          </w:p>
          <w:p>
            <w:pPr>
              <w:autoSpaceDN w:val="0"/>
              <w:tabs>
                <w:tab w:pos="2732" w:val="left"/>
                <w:tab w:pos="4902" w:val="left"/>
                <w:tab w:pos="6772" w:val="left"/>
              </w:tabs>
              <w:autoSpaceDE w:val="0"/>
              <w:widowControl/>
              <w:spacing w:line="286" w:lineRule="exact" w:before="0" w:after="0"/>
              <w:ind w:left="110" w:right="0" w:firstLine="0"/>
              <w:jc w:val="left"/>
            </w:pP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20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University of Notre Dame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21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Princeton University 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22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Wellesley College 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23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University College London</w:t>
            </w:r>
          </w:p>
          <w:p>
            <w:pPr>
              <w:autoSpaceDN w:val="0"/>
              <w:tabs>
                <w:tab w:pos="1332" w:val="left"/>
                <w:tab w:pos="2942" w:val="left"/>
                <w:tab w:pos="4902" w:val="left"/>
                <w:tab w:pos="6374" w:val="left"/>
                <w:tab w:pos="7578" w:val="left"/>
              </w:tabs>
              <w:autoSpaceDE w:val="0"/>
              <w:widowControl/>
              <w:spacing w:line="288" w:lineRule="exact" w:before="0" w:after="0"/>
              <w:ind w:left="366" w:right="0" w:firstLine="0"/>
              <w:jc w:val="left"/>
            </w:pP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24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Kaggle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25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UC San Diego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26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Cornell University 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27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UC Berkeley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28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Mazzuma </w:t>
            </w:r>
            <w:r>
              <w:tab/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29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Contextual AI</w:t>
            </w:r>
          </w:p>
          <w:p>
            <w:pPr>
              <w:autoSpaceDN w:val="0"/>
              <w:tabs>
                <w:tab w:pos="4662" w:val="left"/>
              </w:tabs>
              <w:autoSpaceDE w:val="0"/>
              <w:widowControl/>
              <w:spacing w:line="286" w:lineRule="exact" w:before="0" w:after="0"/>
              <w:ind w:left="3684" w:right="0" w:firstLine="0"/>
              <w:jc w:val="left"/>
            </w:pP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30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Cohere </w:t>
            </w:r>
            <w:r>
              <w:rPr>
                <w:rFonts w:ascii="LMRoman7" w:hAnsi="LMRoman7" w:eastAsia="LMRoman7"/>
                <w:b w:val="0"/>
                <w:i w:val="0"/>
                <w:color w:val="000000"/>
                <w:sz w:val="14"/>
              </w:rPr>
              <w:t>31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Salesforce</w:t>
            </w:r>
          </w:p>
        </w:tc>
      </w:tr>
    </w:tbl>
    <w:p>
      <w:pPr>
        <w:autoSpaceDN w:val="0"/>
        <w:autoSpaceDE w:val="0"/>
        <w:widowControl/>
        <w:spacing w:line="282" w:lineRule="exact" w:before="34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Corresponding authors (</w:t>
      </w:r>
      <w:r>
        <w:rPr>
          <w:rFonts w:ascii="LMMathItalic10" w:hAnsi="LMMathItalic10" w:eastAsia="LMMathItalic10"/>
          <w:b w:val="0"/>
          <w:i/>
          <w:color w:val="000000"/>
          <w:sz w:val="20"/>
        </w:rPr>
        <w:t>ı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can be contacted at</w:t>
      </w:r>
      <w:r>
        <w:rPr>
          <w:rFonts w:ascii="LMRoman10" w:hAnsi="LMRoman10" w:eastAsia="LMRoman10"/>
          <w:b w:val="0"/>
          <w:i w:val="0"/>
          <w:color w:val="0024B1"/>
          <w:sz w:val="20"/>
        </w:rPr>
        <w:t xml:space="preserve"> contact@bigcode-project.org</w:t>
      </w:r>
    </w:p>
    <w:p>
      <w:pPr>
        <w:autoSpaceDN w:val="0"/>
        <w:autoSpaceDE w:val="0"/>
        <w:widowControl/>
        <w:spacing w:line="342" w:lineRule="exact" w:before="366" w:after="0"/>
        <w:ind w:left="0" w:right="0" w:firstLine="0"/>
        <w:jc w:val="center"/>
      </w:pPr>
      <w:r>
        <w:rPr>
          <w:rFonts w:ascii="LMSans10" w:hAnsi="LMSans10" w:eastAsia="LMSans10"/>
          <w:b/>
          <w:i w:val="0"/>
          <w:color w:val="000000"/>
          <w:sz w:val="24"/>
        </w:rPr>
        <w:t>Abstract</w:t>
      </w:r>
    </w:p>
    <w:p>
      <w:pPr>
        <w:autoSpaceDN w:val="0"/>
        <w:autoSpaceDE w:val="0"/>
        <w:widowControl/>
        <w:spacing w:line="274" w:lineRule="exact" w:before="432" w:after="0"/>
        <w:ind w:left="726" w:right="576" w:hanging="8"/>
        <w:jc w:val="left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The BigCode project,</w:t>
      </w:r>
      <w:r>
        <w:rPr>
          <w:rFonts w:ascii="LMRoman7" w:hAnsi="LMRoman7" w:eastAsia="LMRoman7"/>
          <w:b w:val="0"/>
          <w:i w:val="0"/>
          <w:color w:val="024FA5"/>
          <w:sz w:val="14"/>
        </w:rPr>
        <w:t>1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an open-scientific collaboration focused on the responsible development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of Large Language Models for Code (Code LLMs), introduces StarCoder2. In partnership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with Software Heritage (SWH),</w:t>
      </w:r>
      <w:r>
        <w:rPr>
          <w:rFonts w:ascii="LMRoman7" w:hAnsi="LMRoman7" w:eastAsia="LMRoman7"/>
          <w:b w:val="0"/>
          <w:i w:val="0"/>
          <w:color w:val="024FA5"/>
          <w:sz w:val="14"/>
        </w:rPr>
        <w:t>2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we build The Stack v2 on top of the digital commons of their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source code archive. Alongside the SWH repositories spanning 619 programming languages,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we carefully select other high-quality data sources, such as GitHub pull requests, Kaggle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notebooks, and code documentation. This results in a training set that is 4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◊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larger than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first StarCoder dataset. We train StarCoder2 models with 3B, 7B, and 15B parameters on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3.3 to 4.3 trillion tokens and thoroughly evaluate them on a comprehensive set of Code LLM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benchmarks.</w:t>
      </w:r>
    </w:p>
    <w:p>
      <w:pPr>
        <w:autoSpaceDN w:val="0"/>
        <w:autoSpaceDE w:val="0"/>
        <w:widowControl/>
        <w:spacing w:line="240" w:lineRule="exact" w:before="190" w:after="0"/>
        <w:ind w:left="726" w:right="576" w:hanging="10"/>
        <w:jc w:val="left"/>
      </w:pP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 xml:space="preserve">We find that our small model, StarCoder2-3B, outperforms other Code LLMs of similar size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on most benchmarks, and also outperforms StarCoderBase-15B. Our large model, StarCoder2-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15B, significantly outperforms other models of comparable size. In addition, it matches or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outperforms CodeLlama-34B, a model more than twice its size. Although DeepSeekCoder-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33B is the best-performing model at code completion for high-resource languages, we find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that StarCoder2-15B outperforms it on math and code reasoning benchmarks, as well as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several low-resource languages. We make the model weights available under an OpenRAIL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license and ensure full transparency regarding the training data by releasing the SoftWare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Heritage persistent IDentifiers (SWHIDs) of the source code data.</w:t>
      </w:r>
    </w:p>
    <w:p>
      <w:pPr>
        <w:autoSpaceDN w:val="0"/>
        <w:autoSpaceDE w:val="0"/>
        <w:widowControl/>
        <w:spacing w:line="190" w:lineRule="exact" w:before="644" w:after="0"/>
        <w:ind w:left="284" w:right="6336" w:firstLine="0"/>
        <w:jc w:val="left"/>
      </w:pPr>
      <w:r>
        <w:rPr>
          <w:rFonts w:ascii="LMRoman6" w:hAnsi="LMRoman6" w:eastAsia="LMRoman6"/>
          <w:b w:val="0"/>
          <w:i w:val="0"/>
          <w:color w:val="000000"/>
          <w:sz w:val="12"/>
        </w:rPr>
        <w:t>1</w:t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hyperlink r:id="rId10" w:history="1">
          <w:r>
            <w:rPr>
              <w:rStyle w:val="Hyperlink"/>
            </w:rPr>
            <w:t>https://www</w:t>
          </w:r>
        </w:hyperlink>
      </w:r>
      <w:r>
        <w:rPr>
          <w:rFonts w:ascii="LMMathItalic8" w:hAnsi="LMMathItalic8" w:eastAsia="LMMathItalic8"/>
          <w:b w:val="0"/>
          <w:i/>
          <w:color w:val="0024B1"/>
          <w:sz w:val="16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hyperlink r:id="rId10" w:history="1">
          <w:r>
            <w:rPr>
              <w:rStyle w:val="Hyperlink"/>
            </w:rPr>
            <w:t>bigcode-project</w:t>
          </w:r>
        </w:hyperlink>
      </w:r>
      <w:r>
        <w:rPr>
          <w:rFonts w:ascii="LMMathItalic8" w:hAnsi="LMMathItalic8" w:eastAsia="LMMathItalic8"/>
          <w:b w:val="0"/>
          <w:i/>
          <w:color w:val="0024B1"/>
          <w:sz w:val="16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hyperlink r:id="rId10" w:history="1">
          <w:r>
            <w:rPr>
              <w:rStyle w:val="Hyperlink"/>
            </w:rPr>
            <w:t xml:space="preserve">org </w:t>
          </w:r>
        </w:hyperlink>
      </w:r>
      <w:r>
        <w:br/>
      </w:r>
      <w:r>
        <w:rPr>
          <w:rFonts w:ascii="LMRoman6" w:hAnsi="LMRoman6" w:eastAsia="LMRoman6"/>
          <w:b w:val="0"/>
          <w:i w:val="0"/>
          <w:color w:val="000000"/>
          <w:sz w:val="12"/>
        </w:rPr>
        <w:t>2</w:t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hyperlink r:id="rId10" w:history="1">
          <w:r>
            <w:rPr>
              <w:rStyle w:val="Hyperlink"/>
            </w:rPr>
            <w:t>https://www</w:t>
          </w:r>
        </w:hyperlink>
      </w:r>
      <w:r>
        <w:rPr>
          <w:rFonts w:ascii="LMMathItalic8" w:hAnsi="LMMathItalic8" w:eastAsia="LMMathItalic8"/>
          <w:b w:val="0"/>
          <w:i/>
          <w:color w:val="0024B1"/>
          <w:sz w:val="16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hyperlink r:id="rId10" w:history="1">
          <w:r>
            <w:rPr>
              <w:rStyle w:val="Hyperlink"/>
            </w:rPr>
            <w:t>softwareheritage</w:t>
          </w:r>
        </w:hyperlink>
      </w:r>
      <w:r>
        <w:rPr>
          <w:rFonts w:ascii="LMMathItalic8" w:hAnsi="LMMathItalic8" w:eastAsia="LMMathItalic8"/>
          <w:b w:val="0"/>
          <w:i/>
          <w:color w:val="0024B1"/>
          <w:sz w:val="16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hyperlink r:id="rId10" w:history="1">
          <w:r>
            <w:rPr>
              <w:rStyle w:val="Hyperlink"/>
            </w:rPr>
            <w:t>or</w:t>
          </w:r>
        </w:hyperlink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hyperlink r:id="rId11" w:history="1">
          <w:r>
            <w:rPr>
              <w:rStyle w:val="Hyperlink"/>
            </w:rPr>
            <w:t>g/</w:t>
          </w:r>
        </w:hyperlink>
      </w:r>
    </w:p>
    <w:p>
      <w:pPr>
        <w:autoSpaceDN w:val="0"/>
        <w:autoSpaceDE w:val="0"/>
        <w:widowControl/>
        <w:spacing w:line="282" w:lineRule="exact" w:before="332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1</w:t>
      </w:r>
    </w:p>
    <w:p>
      <w:pPr>
        <w:sectPr>
          <w:pgSz w:w="12240" w:h="15840"/>
          <w:pgMar w:top="390" w:right="1412" w:bottom="294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13"/>
        <w:gridCol w:w="4713"/>
      </w:tblGrid>
      <w:tr>
        <w:trPr>
          <w:trHeight w:hRule="exact" w:val="1184"/>
        </w:trPr>
        <w:tc>
          <w:tcPr>
            <w:tcW w:type="dxa" w:w="2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778" w:after="0"/>
              <w:ind w:left="4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91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778" w:after="0"/>
              <w:ind w:left="134" w:right="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Introduction</w:t>
            </w:r>
          </w:p>
        </w:tc>
      </w:tr>
    </w:tbl>
    <w:p>
      <w:pPr>
        <w:autoSpaceDN w:val="0"/>
        <w:autoSpaceDE w:val="0"/>
        <w:widowControl/>
        <w:spacing w:line="240" w:lineRule="exact" w:before="368" w:after="0"/>
        <w:ind w:left="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Large Language Models for Code (Code LLMs;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Chen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Nijkamp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Rozière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; </w:t>
      </w:r>
      <w:r>
        <w:rPr>
          <w:w w:val="98.72529029846191"/>
          <w:rFonts w:ascii="LMRoman10" w:hAnsi="LMRoman10" w:eastAsia="LMRoman10"/>
          <w:b w:val="0"/>
          <w:i w:val="0"/>
          <w:color w:val="42A8FF"/>
          <w:sz w:val="20"/>
        </w:rPr>
        <w:t>Guo et al.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72529029846191"/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 xml:space="preserve">) have rapidly emerged as powerful assistants for writing and editing code. As of January 30,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2024, GitHub CoPilot has garnered over 1.3 million paying subscribers, with over 50,000 organisations opting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for the enterprise version (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>MSFT Q2 Earning Call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), estimated to increase developer productivity by up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to 56% as well as developer satisfaction (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>Peng et al.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 Ziegler et al.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). ServiceNow recently disclosed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that their “text-to-code” solution, built from fine-tuning StarCoderBase models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Li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results in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 52% increase in developer productivity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Yahoo Finance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). Despite the initial focus on generating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code snippets from natural language instructions or other code snippets, Code LLMs exhibit the potential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to enhance all phases of the software development cycle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Hou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Fan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Wang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Zhuo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2023b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). This includes speeding up the implementation of new projects, improving quality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assurance for developed software, helping detect and fix bugs, simplifying maintenance tasks, and easing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migration to newer software.</w:t>
      </w:r>
    </w:p>
    <w:p>
      <w:pPr>
        <w:autoSpaceDN w:val="0"/>
        <w:autoSpaceDE w:val="0"/>
        <w:widowControl/>
        <w:spacing w:line="240" w:lineRule="exact" w:before="120" w:after="0"/>
        <w:ind w:left="4" w:right="0" w:hanging="4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The development process of LLMs can exhibit different levels of openness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Solaiman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Ding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2022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Akiki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 Proprietary models like OpenAI’s GPT-4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OpenAI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and Google’s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Gemini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Gemini Team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provide access to the model through a paid API but do not disclose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development details. On the other hand, open-weight models like Code LLaMa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Rozière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Mistral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Jiang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), and DeepSeekCoder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Guo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have released the model weights. This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enables the open-source community to run these models locally, inspect the model representations, and fine-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tune them on their tasks. However, the model developers have not disclosed their training data. Consequently,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content creators do not know if their data was used for training, social scientists cannot scrutinize the dataset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for bias and toxicity, and LLM developers lack information as to what extent the training set is contaminated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with test benchmarks. More broadly, this practice hinders scientific progress as other research teams cannot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readily reuse each other’s training data. Other LLM development projects, like Allen AI’s OLMo (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Groeneveld </w:t>
      </w:r>
      <w:r>
        <w:rPr>
          <w:w w:val="98.72529029846191"/>
          <w:rFonts w:ascii="LMRoman10" w:hAnsi="LMRoman10" w:eastAsia="LMRoman10"/>
          <w:b w:val="0"/>
          <w:i w:val="0"/>
          <w:color w:val="42A8FF"/>
          <w:sz w:val="20"/>
        </w:rPr>
        <w:t>et al.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72529029846191"/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>), Eleuther AI’s Pythia (</w:t>
      </w:r>
      <w:r>
        <w:rPr>
          <w:w w:val="98.72529029846191"/>
          <w:rFonts w:ascii="LMRoman10" w:hAnsi="LMRoman10" w:eastAsia="LMRoman10"/>
          <w:b w:val="0"/>
          <w:i w:val="0"/>
          <w:color w:val="42A8FF"/>
          <w:sz w:val="20"/>
        </w:rPr>
        <w:t>Biderman et al.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72529029846191"/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>), and BigScience’s BLOOM (</w:t>
      </w:r>
      <w:r>
        <w:rPr>
          <w:w w:val="98.72529029846191"/>
          <w:rFonts w:ascii="LMRoman10" w:hAnsi="LMRoman10" w:eastAsia="LMRoman10"/>
          <w:b w:val="0"/>
          <w:i w:val="0"/>
          <w:color w:val="42A8FF"/>
          <w:sz w:val="20"/>
        </w:rPr>
        <w:t>BigScience Workshop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>2022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 Scao et al.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 2022a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), have adopted a fully open development approach by releasing training data, training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frameworks, and evaluation suites.</w:t>
      </w:r>
    </w:p>
    <w:p>
      <w:pPr>
        <w:autoSpaceDN w:val="0"/>
        <w:autoSpaceDE w:val="0"/>
        <w:widowControl/>
        <w:spacing w:line="240" w:lineRule="exact" w:before="118" w:after="0"/>
        <w:ind w:left="8" w:right="0" w:hanging="8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The BigCode project was established in September 2022 as an open scientific collaboration focused on the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open and responsible development of Code LLMs. BigCode is stewarded by ServiceNow and Hugging Face in </w:t>
      </w: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>the spirit of open governance (</w:t>
      </w:r>
      <w:r>
        <w:rPr>
          <w:w w:val="98.87598037719727"/>
          <w:rFonts w:ascii="LMRoman10" w:hAnsi="LMRoman10" w:eastAsia="LMRoman10"/>
          <w:b w:val="0"/>
          <w:i w:val="0"/>
          <w:color w:val="42A8FF"/>
          <w:sz w:val="20"/>
        </w:rPr>
        <w:t>BigCode collaboration et al.</w:t>
      </w: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87598037719727"/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 xml:space="preserve">) and has brought together more than 1,100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members from diverse academic institutes and industry labs. The community previously released The Stack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v1 (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>Kocetkov et al.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), a 6.4 TB dataset of permissively licensed source code in 384 programming languages.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The Stack v1 includes a governance tool called “Am I in The Stack,” designed for developers to verify if their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source code is included in the dataset. It also provides an opt-out process for those who prefer to exclude their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code from the dataset. In December 2022, the BigCode community released SantaCoder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Ben Allal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a strong-performing 1.1B parameter model trained on Java, JavaScript, and Python code from The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Stack v1. Building upon this success, the community further scaled up its effort and released StarCoder on 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>May 4th, 2023 (</w:t>
      </w:r>
      <w:r>
        <w:rPr>
          <w:w w:val="98.72529029846191"/>
          <w:rFonts w:ascii="LMRoman10" w:hAnsi="LMRoman10" w:eastAsia="LMRoman10"/>
          <w:b w:val="0"/>
          <w:i w:val="0"/>
          <w:color w:val="42A8FF"/>
          <w:sz w:val="20"/>
        </w:rPr>
        <w:t>Li et al.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72529029846191"/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w w:val="98.72529029846191"/>
          <w:rFonts w:ascii="LMRoman10" w:hAnsi="LMRoman10" w:eastAsia="LMRoman10"/>
          <w:b w:val="0"/>
          <w:i w:val="0"/>
          <w:color w:val="000000"/>
          <w:sz w:val="20"/>
        </w:rPr>
        <w:t xml:space="preserve">). At its release, the 15B parameter StarCoder model was the best open-access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LLM for code.</w:t>
      </w:r>
    </w:p>
    <w:p>
      <w:pPr>
        <w:autoSpaceDN w:val="0"/>
        <w:autoSpaceDE w:val="0"/>
        <w:widowControl/>
        <w:spacing w:line="264" w:lineRule="exact" w:before="94" w:after="0"/>
        <w:ind w:left="0" w:right="0" w:firstLine="0"/>
        <w:jc w:val="center"/>
      </w:pP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This technical report describes the development process of The Stack v2 and StarCoder2. The Stack v2 builds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upon the foundation of Software Heritage’s vast source code archive, which spans over 600 programming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languages. In addition to code repositories, we curate other high-quality open data sources, including Github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issues, pull requests, Kaggle and Jupyter notebooks, code documentation, and other natural language datasets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related to math, coding, and reasoning. To prepare the data for training, we perform deduplication, create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filters to eliminate low-quality code, redact Personally Identifiable Information (PII), remove malicious code,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and handle opt-outs from developers who requested to have their code removed from the dataset. With this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new training set of 900B+ unique tokens, 4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>◊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larger than the first StarCoder dataset, we develop the next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generation of StarCoder models. We train Code LLMs with 3B, 7B, and 15B parameters using a two-stage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training process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Rozière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Guo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). We start base model training with a 4k context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window and subsequently fine-tune the model with a 16k context window. We ensure that the training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process does not exceed more than 5 epochs over the dataset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Muennighoff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 However, we push</w:t>
      </w:r>
    </w:p>
    <w:p>
      <w:pPr>
        <w:autoSpaceDN w:val="0"/>
        <w:autoSpaceDE w:val="0"/>
        <w:widowControl/>
        <w:spacing w:line="282" w:lineRule="exact" w:before="314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2</w:t>
      </w:r>
    </w:p>
    <w:p>
      <w:pPr>
        <w:sectPr>
          <w:pgSz w:w="12240" w:h="15840"/>
          <w:pgMar w:top="390" w:right="1382" w:bottom="294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exact" w:before="874" w:after="0"/>
        <w:ind w:left="20" w:right="26" w:firstLine="0"/>
        <w:jc w:val="both"/>
      </w:pPr>
      <w:r>
        <w:rPr>
          <w:w w:val="98.87598037719727"/>
          <w:rFonts w:ascii="LMRoman10" w:hAnsi="LMRoman10" w:eastAsia="LMRoman10"/>
          <w:b w:val="0"/>
          <w:i w:val="0"/>
          <w:color w:val="000000"/>
          <w:sz w:val="20"/>
        </w:rPr>
        <w:t xml:space="preserve">the number of training tokens far beyond the compute-optimal number suggested by Chinchilla (Harm’s law; 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>de Vries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 and train relatively small models within the range of 3.3 to 4.3 trillion tokens. We thoroughly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assess and compare the performance of these models on a suite of code LLM benchmarks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Cassano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2023b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Austin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Chen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Liu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2023a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Lai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Muennighoff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2024a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; 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Cassano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Liu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2023b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Ding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Gu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Cobbe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Pearce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2022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Dhamala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Nozza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;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Gehman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2020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), finding that:</w:t>
      </w:r>
    </w:p>
    <w:p>
      <w:pPr>
        <w:autoSpaceDN w:val="0"/>
        <w:autoSpaceDE w:val="0"/>
        <w:widowControl/>
        <w:spacing w:line="240" w:lineRule="exact" w:before="290" w:after="0"/>
        <w:ind w:left="742" w:right="54" w:hanging="256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The StarCoder2-3B model outperforms other Code LLMs of similar size (StableCode-3B and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DeepSeekCoder-1.3B) on most benchmarks. Moreover, it matches or surpasses the performance of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StarCoderBase-15B.</w:t>
      </w:r>
    </w:p>
    <w:p>
      <w:pPr>
        <w:autoSpaceDN w:val="0"/>
        <w:autoSpaceDE w:val="0"/>
        <w:widowControl/>
        <w:spacing w:line="240" w:lineRule="exact" w:before="178" w:after="0"/>
        <w:ind w:left="732" w:right="0" w:hanging="246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The StarCoder2-15B model significantly outperforms other models of comparable size (CodeLlama-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13B), and matches or outperforms CodeLlama-34B. DeepSeekCoder-33B is the best model at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code completion benchmarks for high-resource languages. However, StarCoder2-15B matches or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outperforms DeepSeekCoder-33B on low-resource programming languages (e.g., D, Julia, Lua,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and Perl). Moreover, when we consider benchmarks that require models to reason about code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execution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Gu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 or mathematics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Cobbe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we find that StarCoder2-15B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outperforms DeepSeekCoder-33B.</w:t>
      </w:r>
    </w:p>
    <w:p>
      <w:pPr>
        <w:autoSpaceDN w:val="0"/>
        <w:autoSpaceDE w:val="0"/>
        <w:widowControl/>
        <w:spacing w:line="240" w:lineRule="exact" w:before="178" w:after="0"/>
        <w:ind w:left="742" w:right="48" w:hanging="256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The StarCoder2-7B model outperforms CodeLlama-7B but is behind DeepSeekCoder-6.7B. It is not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clear to this report’s authors why StarCoder2-7B does not perform as well as StarCoder2-3B and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StarCoder2-15B for their size.</w:t>
      </w:r>
    </w:p>
    <w:p>
      <w:pPr>
        <w:autoSpaceDN w:val="0"/>
        <w:tabs>
          <w:tab w:pos="418" w:val="left"/>
        </w:tabs>
        <w:autoSpaceDE w:val="0"/>
        <w:widowControl/>
        <w:spacing w:line="342" w:lineRule="exact" w:before="252" w:after="0"/>
        <w:ind w:left="24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2 </w:t>
      </w:r>
      <w:r>
        <w:tab/>
      </w:r>
      <w:r>
        <w:rPr>
          <w:rFonts w:ascii="LMSans10" w:hAnsi="LMSans10" w:eastAsia="LMSans10"/>
          <w:b/>
          <w:i w:val="0"/>
          <w:color w:val="000000"/>
          <w:sz w:val="24"/>
        </w:rPr>
        <w:t>Data Sources</w:t>
      </w:r>
    </w:p>
    <w:p>
      <w:pPr>
        <w:autoSpaceDN w:val="0"/>
        <w:autoSpaceDE w:val="0"/>
        <w:widowControl/>
        <w:spacing w:line="238" w:lineRule="exact" w:before="244" w:after="0"/>
        <w:ind w:left="0" w:right="54" w:firstLine="0"/>
        <w:jc w:val="righ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In this section, we elaborate on the process of obtaining training data, encompassing not just the data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sourced from Software Heritage (§</w:t>
      </w:r>
      <w:r>
        <w:rPr>
          <w:w w:val="98.62470626831055"/>
          <w:rFonts w:ascii="LMRoman10" w:hAnsi="LMRoman10" w:eastAsia="LMRoman10"/>
          <w:b w:val="0"/>
          <w:i w:val="0"/>
          <w:color w:val="024FA5"/>
          <w:sz w:val="20"/>
        </w:rPr>
        <w:t>2.1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) but also GitHub issues (§</w:t>
      </w:r>
      <w:r>
        <w:rPr>
          <w:w w:val="98.62470626831055"/>
          <w:rFonts w:ascii="LMRoman10" w:hAnsi="LMRoman10" w:eastAsia="LMRoman10"/>
          <w:b w:val="0"/>
          <w:i w:val="0"/>
          <w:color w:val="024FA5"/>
          <w:sz w:val="20"/>
        </w:rPr>
        <w:t>2.2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), pull requests (§</w:t>
      </w:r>
      <w:r>
        <w:rPr>
          <w:w w:val="98.62470626831055"/>
          <w:rFonts w:ascii="LMRoman10" w:hAnsi="LMRoman10" w:eastAsia="LMRoman10"/>
          <w:b w:val="0"/>
          <w:i w:val="0"/>
          <w:color w:val="024FA5"/>
          <w:sz w:val="20"/>
        </w:rPr>
        <w:t>2.3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), Jupyter and Kaggle 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>notebooks (§</w:t>
      </w:r>
      <w:r>
        <w:rPr>
          <w:w w:val="98.77554893493652"/>
          <w:rFonts w:ascii="LMRoman10" w:hAnsi="LMRoman10" w:eastAsia="LMRoman10"/>
          <w:b w:val="0"/>
          <w:i w:val="0"/>
          <w:color w:val="024FA5"/>
          <w:sz w:val="20"/>
        </w:rPr>
        <w:t>2.4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>), documentation (§</w:t>
      </w:r>
      <w:r>
        <w:rPr>
          <w:w w:val="98.77554893493652"/>
          <w:rFonts w:ascii="LMRoman10" w:hAnsi="LMRoman10" w:eastAsia="LMRoman10"/>
          <w:b w:val="0"/>
          <w:i w:val="0"/>
          <w:color w:val="024FA5"/>
          <w:sz w:val="20"/>
        </w:rPr>
        <w:t>2.5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>), intermediate representations (§</w:t>
      </w:r>
      <w:r>
        <w:rPr>
          <w:w w:val="98.77554893493652"/>
          <w:rFonts w:ascii="LMRoman10" w:hAnsi="LMRoman10" w:eastAsia="LMRoman10"/>
          <w:b w:val="0"/>
          <w:i w:val="0"/>
          <w:color w:val="024FA5"/>
          <w:sz w:val="20"/>
        </w:rPr>
        <w:t>2.6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 xml:space="preserve">), small math and coding datasets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(§</w:t>
      </w:r>
      <w:r>
        <w:rPr>
          <w:rFonts w:ascii="LMRoman10" w:hAnsi="LMRoman10" w:eastAsia="LMRoman10"/>
          <w:b w:val="0"/>
          <w:i w:val="0"/>
          <w:color w:val="024FA5"/>
          <w:sz w:val="20"/>
        </w:rPr>
        <w:t>2.7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), and other natural language datasets (§</w:t>
      </w:r>
      <w:r>
        <w:rPr>
          <w:rFonts w:ascii="LMRoman10" w:hAnsi="LMRoman10" w:eastAsia="LMRoman10"/>
          <w:b w:val="0"/>
          <w:i w:val="0"/>
          <w:color w:val="024FA5"/>
          <w:sz w:val="20"/>
        </w:rPr>
        <w:t>2.8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524" w:val="left"/>
        </w:tabs>
        <w:autoSpaceDE w:val="0"/>
        <w:widowControl/>
        <w:spacing w:line="286" w:lineRule="exact" w:before="240" w:after="0"/>
        <w:ind w:left="24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0"/>
        </w:rPr>
        <w:t xml:space="preserve">2.1 </w:t>
      </w:r>
      <w:r>
        <w:tab/>
      </w:r>
      <w:r>
        <w:rPr>
          <w:rFonts w:ascii="LMSans10" w:hAnsi="LMSans10" w:eastAsia="LMSans10"/>
          <w:b/>
          <w:i w:val="0"/>
          <w:color w:val="000000"/>
          <w:sz w:val="20"/>
        </w:rPr>
        <w:t>Source Code</w:t>
      </w:r>
    </w:p>
    <w:p>
      <w:pPr>
        <w:autoSpaceDN w:val="0"/>
        <w:tabs>
          <w:tab w:pos="1992" w:val="left"/>
        </w:tabs>
        <w:autoSpaceDE w:val="0"/>
        <w:widowControl/>
        <w:spacing w:line="240" w:lineRule="exact" w:before="190" w:after="0"/>
        <w:ind w:left="20" w:right="0" w:firstLine="0"/>
        <w:jc w:val="left"/>
      </w:pPr>
      <w:r>
        <w:rPr>
          <w:w w:val="98.62470626831055"/>
          <w:rFonts w:ascii="LMRoman10" w:hAnsi="LMRoman10" w:eastAsia="LMRoman10"/>
          <w:b/>
          <w:i w:val="0"/>
          <w:color w:val="000000"/>
          <w:sz w:val="20"/>
        </w:rPr>
        <w:t xml:space="preserve">Software Heritage </w:t>
      </w:r>
      <w:r>
        <w:tab/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We build the Stack v2 on top of the Software Heritage (SH) archive (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>Abramatic et al.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, 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2018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), maintained by the non-profit organization of the same name. The mission of Software Heritage is to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collect and preserve all knowledge taking the form of source code. We work with the SH graph dataset (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Pietri 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2020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), a fully deduplicated Merkle DAG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Merkle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1987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representation of the full archive. The SH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graph dataset links together file identifiers, source code directories, and git commits, up to the entire states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of repositories, as observed during periodic crawls by Software Heritage.</w:t>
      </w:r>
    </w:p>
    <w:p>
      <w:pPr>
        <w:autoSpaceDN w:val="0"/>
        <w:tabs>
          <w:tab w:pos="2572" w:val="left"/>
        </w:tabs>
        <w:autoSpaceDE w:val="0"/>
        <w:widowControl/>
        <w:spacing w:line="240" w:lineRule="exact" w:before="258" w:after="0"/>
        <w:ind w:left="24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 xml:space="preserve">Extracting repositories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We leverage the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2023-09-06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version of the SH graph dataset as the primary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source. We start by extracting the most recently crawled versions of all GitHub repositories and filtering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them to retain only the main branch. The branch is considered main if the repository metadata in GHArchive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lists it as the default branch or if its name is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main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or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master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. We only extract the latest revision (commit) </w:t>
      </w:r>
      <w:r>
        <w:rPr>
          <w:w w:val="98.92616271972656"/>
          <w:rFonts w:ascii="LMRoman10" w:hAnsi="LMRoman10" w:eastAsia="LMRoman10"/>
          <w:b w:val="0"/>
          <w:i w:val="0"/>
          <w:color w:val="000000"/>
          <w:sz w:val="20"/>
        </w:rPr>
        <w:t xml:space="preserve">from the main branch and deduplicate the repositories based on the unique hashes of their contents (column 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>directory_id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of the SH dataset). The repositories’ directory structure is reconstructed by recursively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joining the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directory_entry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table of the dataset to itself using the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directory_id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and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target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columns and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concatenating the directory and file names (column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name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 into full paths. We only traverse the directory tree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up to level 64. The individual file contents are downloaded from the SH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content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 S3 bucket if the compressed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file size is less than 10MB.</w:t>
      </w:r>
    </w:p>
    <w:p>
      <w:pPr>
        <w:autoSpaceDN w:val="0"/>
        <w:tabs>
          <w:tab w:pos="1916" w:val="left"/>
        </w:tabs>
        <w:autoSpaceDE w:val="0"/>
        <w:widowControl/>
        <w:spacing w:line="240" w:lineRule="exact" w:before="258" w:after="0"/>
        <w:ind w:left="24" w:right="0" w:firstLine="0"/>
        <w:jc w:val="left"/>
      </w:pPr>
      <w:r>
        <w:rPr>
          <w:w w:val="98.62470626831055"/>
          <w:rFonts w:ascii="LMRoman10" w:hAnsi="LMRoman10" w:eastAsia="LMRoman10"/>
          <w:b/>
          <w:i w:val="0"/>
          <w:color w:val="000000"/>
          <w:sz w:val="20"/>
        </w:rPr>
        <w:t xml:space="preserve">License detection </w:t>
      </w:r>
      <w:r>
        <w:tab/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We extract repository-level license information from GHArchive (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>Github Archive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62470626831055"/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)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for all repositories with matching names in the SWH dataset. When the repo-level license is not available,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i.e., for 96.93% of repositories, we use the ScanCode Toolkit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ScanCode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to detect file-level licenses as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follows:</w:t>
      </w:r>
    </w:p>
    <w:p>
      <w:pPr>
        <w:autoSpaceDN w:val="0"/>
        <w:autoSpaceDE w:val="0"/>
        <w:widowControl/>
        <w:spacing w:line="282" w:lineRule="exact" w:before="314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3</w:t>
      </w:r>
    </w:p>
    <w:p>
      <w:pPr>
        <w:sectPr>
          <w:pgSz w:w="12240" w:h="15840"/>
          <w:pgMar w:top="390" w:right="1386" w:bottom="29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1028700</wp:posOffset>
            </wp:positionV>
            <wp:extent cx="5283200" cy="3149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49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85"/>
        <w:gridCol w:w="1885"/>
        <w:gridCol w:w="1885"/>
        <w:gridCol w:w="1885"/>
        <w:gridCol w:w="1885"/>
      </w:tblGrid>
      <w:tr>
        <w:trPr>
          <w:trHeight w:hRule="exact" w:val="1556"/>
        </w:trPr>
        <w:tc>
          <w:tcPr>
            <w:tcW w:type="dxa" w:w="2084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28" w:after="0"/>
              <w:ind w:left="0" w:right="348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no</w:t>
            </w:r>
          </w:p>
        </w:tc>
        <w:tc>
          <w:tcPr>
            <w:tcW w:type="dxa" w:w="172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90" w:after="0"/>
              <w:ind w:left="0" w:right="416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yes</w:t>
            </w:r>
          </w:p>
        </w:tc>
        <w:tc>
          <w:tcPr>
            <w:tcW w:type="dxa" w:w="172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08" w:after="0"/>
              <w:ind w:left="144" w:right="144" w:firstLine="0"/>
              <w:jc w:val="center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Is the GitHub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license empty?</w:t>
            </w:r>
          </w:p>
        </w:tc>
        <w:tc>
          <w:tcPr>
            <w:tcW w:type="dxa" w:w="17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162" w:after="0"/>
              <w:ind w:left="0" w:right="1086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no</w:t>
            </w:r>
          </w:p>
        </w:tc>
        <w:tc>
          <w:tcPr>
            <w:tcW w:type="dxa" w:w="2064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970" w:after="0"/>
              <w:ind w:left="318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yes</w:t>
            </w:r>
          </w:p>
        </w:tc>
      </w:tr>
      <w:tr>
        <w:trPr>
          <w:trHeight w:hRule="exact" w:val="406"/>
        </w:trPr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0" w:after="0"/>
              <w:ind w:left="0" w:right="144" w:firstLine="0"/>
              <w:jc w:val="center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Is the GitHub li-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cense permissive?</w:t>
            </w:r>
          </w:p>
        </w:tc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554"/>
        </w:trPr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72" w:after="0"/>
              <w:ind w:left="0" w:right="522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no</w:t>
            </w:r>
          </w:p>
        </w:tc>
        <w:tc>
          <w:tcPr>
            <w:tcW w:type="dxa" w:w="1885"/>
            <w:vMerge/>
            <w:tcBorders/>
          </w:tcPr>
          <w:p/>
        </w:tc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896"/>
        </w:trPr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54" w:after="0"/>
              <w:ind w:left="144" w:right="0" w:firstLine="0"/>
              <w:jc w:val="center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 xml:space="preserve">Did ScanCode 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detect licenses?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56" w:after="0"/>
              <w:ind w:left="0" w:right="0" w:firstLine="0"/>
              <w:jc w:val="center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non-permissive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896" w:after="0"/>
              <w:ind w:left="0" w:right="1058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yes</w:t>
            </w:r>
          </w:p>
        </w:tc>
        <w:tc>
          <w:tcPr>
            <w:tcW w:type="dxa" w:w="20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56" w:after="0"/>
              <w:ind w:left="204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permissive</w:t>
            </w:r>
          </w:p>
        </w:tc>
      </w:tr>
      <w:tr>
        <w:trPr>
          <w:trHeight w:hRule="exact" w:val="740"/>
        </w:trPr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88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56" w:after="0"/>
              <w:ind w:left="0" w:right="940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yes</w:t>
            </w:r>
          </w:p>
        </w:tc>
        <w:tc>
          <w:tcPr>
            <w:tcW w:type="dxa" w:w="1885"/>
            <w:vMerge/>
            <w:tcBorders/>
          </w:tcPr>
          <w:p/>
        </w:tc>
        <w:tc>
          <w:tcPr>
            <w:tcW w:type="dxa" w:w="188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8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188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44" w:after="0"/>
              <w:ind w:left="0" w:right="0" w:firstLine="0"/>
              <w:jc w:val="center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Are all detected li-</w:t>
            </w: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censes permissive?</w:t>
            </w:r>
          </w:p>
        </w:tc>
        <w:tc>
          <w:tcPr>
            <w:tcW w:type="dxa" w:w="1885"/>
            <w:vMerge/>
            <w:tcBorders/>
          </w:tcPr>
          <w:p/>
        </w:tc>
        <w:tc>
          <w:tcPr>
            <w:tcW w:type="dxa" w:w="188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0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0" w:right="256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no license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62" w:after="0"/>
              <w:ind w:left="0" w:right="444" w:firstLine="0"/>
              <w:jc w:val="righ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no</w:t>
            </w:r>
          </w:p>
        </w:tc>
        <w:tc>
          <w:tcPr>
            <w:tcW w:type="dxa" w:w="1885"/>
            <w:vMerge/>
            <w:tcBorders/>
          </w:tcPr>
          <w:p/>
        </w:tc>
        <w:tc>
          <w:tcPr>
            <w:tcW w:type="dxa" w:w="1885"/>
            <w:vMerge/>
            <w:tcBorders/>
          </w:tcPr>
          <w:p/>
        </w:tc>
        <w:tc>
          <w:tcPr>
            <w:tcW w:type="dxa" w:w="1885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188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4" w:after="0"/>
              <w:ind w:left="298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non-permissive</w:t>
            </w:r>
          </w:p>
        </w:tc>
        <w:tc>
          <w:tcPr>
            <w:tcW w:type="dxa" w:w="1885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4" w:after="0"/>
              <w:ind w:left="340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0"/>
              </w:rPr>
              <w:t>permissive</w:t>
            </w:r>
          </w:p>
        </w:tc>
        <w:tc>
          <w:tcPr>
            <w:tcW w:type="dxa" w:w="18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4" w:lineRule="exact" w:before="264" w:after="0"/>
        <w:ind w:left="0" w:right="0" w:firstLine="0"/>
        <w:jc w:val="center"/>
      </w:pPr>
      <w:r>
        <w:rPr>
          <w:rFonts w:ascii="LMRoman10" w:hAnsi="LMRoman10" w:eastAsia="LMRoman10"/>
          <w:b/>
          <w:i w:val="0"/>
          <w:color w:val="000000"/>
          <w:sz w:val="20"/>
        </w:rPr>
        <w:t>Figure 1:</w:t>
      </w:r>
      <w:r>
        <w:rPr>
          <w:rFonts w:ascii="LMRomanSlant10" w:hAnsi="LMRomanSlant10" w:eastAsia="LMRomanSlant10"/>
          <w:b w:val="0"/>
          <w:i/>
          <w:color w:val="000000"/>
          <w:sz w:val="20"/>
        </w:rPr>
        <w:t xml:space="preserve"> File-level license assignment logic.</w:t>
      </w:r>
    </w:p>
    <w:p>
      <w:pPr>
        <w:autoSpaceDN w:val="0"/>
        <w:autoSpaceDE w:val="0"/>
        <w:widowControl/>
        <w:spacing w:line="238" w:lineRule="exact" w:before="460" w:after="0"/>
        <w:ind w:left="726" w:right="58" w:hanging="256"/>
        <w:jc w:val="both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 xml:space="preserve"> Find all files that could contain a license using a regular expression in Appendix</w:t>
      </w:r>
      <w:r>
        <w:rPr>
          <w:w w:val="98.77554893493652"/>
          <w:rFonts w:ascii="LMRoman10" w:hAnsi="LMRoman10" w:eastAsia="LMRoman10"/>
          <w:b w:val="0"/>
          <w:i w:val="0"/>
          <w:color w:val="024FA5"/>
          <w:sz w:val="20"/>
        </w:rPr>
        <w:t xml:space="preserve"> A.3</w:t>
      </w:r>
      <w:r>
        <w:rPr>
          <w:w w:val="98.77554893493652"/>
          <w:rFonts w:ascii="LMRoman10" w:hAnsi="LMRoman10" w:eastAsia="LMRoman10"/>
          <w:b w:val="0"/>
          <w:i w:val="0"/>
          <w:color w:val="000000"/>
          <w:sz w:val="20"/>
        </w:rPr>
        <w:t xml:space="preserve">. This allows us </w:t>
      </w:r>
      <w:r>
        <w:rPr>
          <w:w w:val="98.82577896118164"/>
          <w:rFonts w:ascii="LMRoman10" w:hAnsi="LMRoman10" w:eastAsia="LMRoman10"/>
          <w:b w:val="0"/>
          <w:i w:val="0"/>
          <w:color w:val="000000"/>
          <w:sz w:val="20"/>
        </w:rPr>
        <w:t>to gather files that either explicitly contain a license (e.g.,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LICENSE</w:t>
      </w:r>
      <w:r>
        <w:rPr>
          <w:w w:val="98.82577896118164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MIT.txt</w:t>
      </w:r>
      <w:r>
        <w:rPr>
          <w:w w:val="98.82577896118164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Apache2.0</w:t>
      </w:r>
      <w:r>
        <w:rPr>
          <w:w w:val="98.82577896118164"/>
          <w:rFonts w:ascii="LMRoman10" w:hAnsi="LMRoman10" w:eastAsia="LMRoman10"/>
          <w:b w:val="0"/>
          <w:i w:val="0"/>
          <w:color w:val="000000"/>
          <w:sz w:val="20"/>
        </w:rPr>
        <w:t xml:space="preserve">) or contain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 reference to the license (e.g.,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README.md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GUIDELINES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726" w:val="left"/>
        </w:tabs>
        <w:autoSpaceDE w:val="0"/>
        <w:widowControl/>
        <w:spacing w:line="240" w:lineRule="exact" w:before="218" w:after="0"/>
        <w:ind w:left="47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 Apply ScanCode’s license detection to the matching files and gather the SPDX</w:t>
      </w:r>
      <w:r>
        <w:rPr>
          <w:rFonts w:ascii="LMRoman7" w:hAnsi="LMRoman7" w:eastAsia="LMRoman7"/>
          <w:b w:val="0"/>
          <w:i w:val="0"/>
          <w:color w:val="024FA5"/>
          <w:sz w:val="14"/>
        </w:rPr>
        <w:t>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IDs of the detected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licenses;</w:t>
      </w:r>
    </w:p>
    <w:p>
      <w:pPr>
        <w:autoSpaceDN w:val="0"/>
        <w:tabs>
          <w:tab w:pos="726" w:val="left"/>
        </w:tabs>
        <w:autoSpaceDE w:val="0"/>
        <w:widowControl/>
        <w:spacing w:line="238" w:lineRule="exact" w:before="220" w:after="0"/>
        <w:ind w:left="470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•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 Propagate the detected licenses to all files that have the same base path within the repository as the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license file.</w:t>
      </w:r>
    </w:p>
    <w:p>
      <w:pPr>
        <w:autoSpaceDN w:val="0"/>
        <w:autoSpaceDE w:val="0"/>
        <w:widowControl/>
        <w:spacing w:line="240" w:lineRule="exact" w:before="308" w:after="0"/>
        <w:ind w:left="8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Once the file-level license information is gathered, we decide whether the file is permissively licensed,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non-permissively licensed, or unlicensed, following the algorithm described in Figure</w:t>
      </w:r>
      <w:r>
        <w:rPr>
          <w:rFonts w:ascii="LMRoman10" w:hAnsi="LMRoman10" w:eastAsia="LMRoman10"/>
          <w:b w:val="0"/>
          <w:i w:val="0"/>
          <w:color w:val="024FA5"/>
          <w:sz w:val="20"/>
        </w:rPr>
        <w:t xml:space="preserve"> 1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8" w:lineRule="exact" w:before="120" w:after="0"/>
        <w:ind w:left="8" w:right="0" w:hanging="8"/>
        <w:jc w:val="left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The licenses we consider permissive are listed in Appendix</w:t>
      </w:r>
      <w:r>
        <w:rPr>
          <w:rFonts w:ascii="LMRoman10" w:hAnsi="LMRoman10" w:eastAsia="LMRoman10"/>
          <w:b w:val="0"/>
          <w:i w:val="0"/>
          <w:color w:val="024FA5"/>
          <w:sz w:val="20"/>
        </w:rPr>
        <w:t xml:space="preserve"> A.4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. This list was compiled from the licenses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approved by the Blue Oak Council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Blue Oak Council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), as well as licenses categorized as “Permissive”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or “Public Domain” by ScanCode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ScanCode License Categories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1564" w:val="left"/>
        </w:tabs>
        <w:autoSpaceDE w:val="0"/>
        <w:widowControl/>
        <w:spacing w:line="240" w:lineRule="exact" w:before="280" w:after="0"/>
        <w:ind w:left="2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 xml:space="preserve">Data licenses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We consider three types of files: permissively licensed, non-permissively licensed (e.g.,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copyleft), and unlicensed files. The main difference between the Stack v2 and the Stack v1 is that we include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both permissively licensed and unlicensed files. We exclude commercial licenses since their creators do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not intend their code to be used for commercial purposes. We also exclude copyleft-licensed code due to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uncertainty regarding the community’s stance on using such data for LLM training and its relatively low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volume.</w:t>
      </w:r>
    </w:p>
    <w:p>
      <w:pPr>
        <w:autoSpaceDN w:val="0"/>
        <w:tabs>
          <w:tab w:pos="2138" w:val="left"/>
        </w:tabs>
        <w:autoSpaceDE w:val="0"/>
        <w:widowControl/>
        <w:spacing w:line="238" w:lineRule="exact" w:before="282" w:after="0"/>
        <w:ind w:left="8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 xml:space="preserve">Language detection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0"/>
        </w:rPr>
        <w:t>While the Stack v1 (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>Kocetkov et al.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rFonts w:ascii="LMRoman10" w:hAnsi="LMRoman10" w:eastAsia="LMRoman10"/>
          <w:b w:val="0"/>
          <w:i w:val="0"/>
          <w:color w:val="42A8FF"/>
          <w:sz w:val="20"/>
        </w:rPr>
        <w:t xml:space="preserve"> 2023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 xml:space="preserve">) detects programming languages by their 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>file extension, we instead rely on a language classifier. Specifically, we use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go-enry</w:t>
      </w:r>
      <w:r>
        <w:rPr>
          <w:w w:val="98.62470626831055"/>
          <w:rFonts w:ascii="LMRoman10" w:hAnsi="LMRoman10" w:eastAsia="LMRoman10"/>
          <w:b w:val="0"/>
          <w:i w:val="0"/>
          <w:color w:val="000000"/>
          <w:sz w:val="20"/>
        </w:rPr>
        <w:t xml:space="preserve"> based on GitHub’s library 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>linguist</w:t>
      </w:r>
      <w:r>
        <w:rPr>
          <w:w w:val="98.9763069152832"/>
          <w:rFonts w:ascii="LMRoman10" w:hAnsi="LMRoman10" w:eastAsia="LMRoman10"/>
          <w:b w:val="0"/>
          <w:i w:val="0"/>
          <w:color w:val="000000"/>
          <w:sz w:val="20"/>
        </w:rPr>
        <w:t xml:space="preserve"> (</w:t>
      </w:r>
      <w:r>
        <w:rPr>
          <w:w w:val="98.9763069152832"/>
          <w:rFonts w:ascii="LMRoman10" w:hAnsi="LMRoman10" w:eastAsia="LMRoman10"/>
          <w:b w:val="0"/>
          <w:i w:val="0"/>
          <w:color w:val="42A8FF"/>
          <w:sz w:val="20"/>
        </w:rPr>
        <w:t>go-enry</w:t>
      </w:r>
      <w:r>
        <w:rPr>
          <w:w w:val="98.9763069152832"/>
          <w:rFonts w:ascii="LMRoman10" w:hAnsi="LMRoman10" w:eastAsia="LMRoman10"/>
          <w:b w:val="0"/>
          <w:i w:val="0"/>
          <w:color w:val="000000"/>
          <w:sz w:val="20"/>
        </w:rPr>
        <w:t>,</w:t>
      </w:r>
      <w:r>
        <w:rPr>
          <w:w w:val="98.9763069152832"/>
          <w:rFonts w:ascii="LMRoman10" w:hAnsi="LMRoman10" w:eastAsia="LMRoman10"/>
          <w:b w:val="0"/>
          <w:i w:val="0"/>
          <w:color w:val="42A8FF"/>
          <w:sz w:val="20"/>
        </w:rPr>
        <w:t xml:space="preserve"> 2024</w:t>
      </w:r>
      <w:r>
        <w:rPr>
          <w:w w:val="98.9763069152832"/>
          <w:rFonts w:ascii="LMRoman10" w:hAnsi="LMRoman10" w:eastAsia="LMRoman10"/>
          <w:b w:val="0"/>
          <w:i w:val="0"/>
          <w:color w:val="000000"/>
          <w:sz w:val="20"/>
        </w:rPr>
        <w:t xml:space="preserve">) to detect the programming language for each file. We detect 658 unique languages 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in</w:t>
      </w:r>
      <w:r>
        <w:rPr>
          <w:rFonts w:ascii="RobotoMono" w:hAnsi="RobotoMono" w:eastAsia="RobotoMono"/>
          <w:b w:val="0"/>
          <w:i w:val="0"/>
          <w:color w:val="000000"/>
          <w:sz w:val="17"/>
        </w:rPr>
        <w:t xml:space="preserve"> TheStackV2-dedup</w:t>
      </w:r>
      <w:r>
        <w:rPr>
          <w:rFonts w:ascii="LMRoman10" w:hAnsi="LMRoman10" w:eastAsia="LMRoman10"/>
          <w:b w:val="0"/>
          <w:i w:val="0"/>
          <w:color w:val="000000"/>
          <w:sz w:val="20"/>
        </w:rPr>
        <w:t>, some of which get removed at the data inspection stage (see next paragraph).</w:t>
      </w:r>
    </w:p>
    <w:p>
      <w:pPr>
        <w:autoSpaceDN w:val="0"/>
        <w:autoSpaceDE w:val="0"/>
        <w:widowControl/>
        <w:spacing w:line="238" w:lineRule="exact" w:before="172" w:after="0"/>
        <w:ind w:left="284" w:right="0" w:firstLine="0"/>
        <w:jc w:val="left"/>
      </w:pPr>
      <w:r>
        <w:rPr>
          <w:rFonts w:ascii="LMRoman6" w:hAnsi="LMRoman6" w:eastAsia="LMRoman6"/>
          <w:b w:val="0"/>
          <w:i w:val="0"/>
          <w:color w:val="000000"/>
          <w:sz w:val="12"/>
        </w:rPr>
        <w:t>3</w:t>
      </w:r>
      <w:r>
        <w:rPr>
          <w:rFonts w:ascii="LMRoman8" w:hAnsi="LMRoman8" w:eastAsia="LMRoman8"/>
          <w:b w:val="0"/>
          <w:i w:val="0"/>
          <w:color w:val="000000"/>
          <w:sz w:val="16"/>
        </w:rPr>
        <w:t>System Package Data Exchange,</w:t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t xml:space="preserve"> </w:t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hyperlink r:id="rId12" w:history="1">
          <w:r>
            <w:rPr>
              <w:rStyle w:val="Hyperlink"/>
            </w:rPr>
            <w:t>https://spdx</w:t>
          </w:r>
        </w:hyperlink>
      </w:r>
      <w:r>
        <w:rPr>
          <w:rFonts w:ascii="LMMathItalic8" w:hAnsi="LMMathItalic8" w:eastAsia="LMMathItalic8"/>
          <w:b w:val="0"/>
          <w:i/>
          <w:color w:val="0024B1"/>
          <w:sz w:val="16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w w:val="96.78000041416713"/>
          <w:rFonts w:ascii="RobotoMono" w:hAnsi="RobotoMono" w:eastAsia="RobotoMono"/>
          <w:b w:val="0"/>
          <w:i w:val="0"/>
          <w:color w:val="0024B1"/>
          <w:sz w:val="14"/>
        </w:rPr>
        <w:hyperlink r:id="rId12" w:history="1">
          <w:r>
            <w:rPr>
              <w:rStyle w:val="Hyperlink"/>
            </w:rPr>
            <w:t>dev</w:t>
          </w:r>
        </w:hyperlink>
      </w:r>
      <w:r>
        <w:rPr>
          <w:rFonts w:ascii="LMRoman8" w:hAnsi="LMRoman8" w:eastAsia="LMRoman8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82" w:lineRule="exact" w:before="326" w:after="0"/>
        <w:ind w:left="0" w:right="0" w:firstLine="0"/>
        <w:jc w:val="center"/>
      </w:pPr>
      <w:r>
        <w:rPr>
          <w:rFonts w:ascii="LMRoman10" w:hAnsi="LMRoman10" w:eastAsia="LMRoman10"/>
          <w:b w:val="0"/>
          <w:i w:val="0"/>
          <w:color w:val="000000"/>
          <w:sz w:val="20"/>
        </w:rPr>
        <w:t>4</w:t>
      </w:r>
    </w:p>
    <w:sectPr w:rsidR="00FC693F" w:rsidRPr="0006063C" w:rsidSect="00034616">
      <w:pgSz w:w="12240" w:h="15840"/>
      <w:pgMar w:top="390" w:right="1382" w:bottom="294" w:left="1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bigcode-project.org" TargetMode="External"/><Relationship Id="rId11" Type="http://schemas.openxmlformats.org/officeDocument/2006/relationships/hyperlink" Target="https://www.softwareheritage.org/" TargetMode="External"/><Relationship Id="rId12" Type="http://schemas.openxmlformats.org/officeDocument/2006/relationships/hyperlink" Target="https://spdx.dev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