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159" w:rsidRPr="00780159" w:rsidRDefault="00780159">
      <w:pPr>
        <w:spacing w:after="8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:rsidR="00C9342A" w:rsidRPr="00780159" w:rsidRDefault="009F728C">
      <w:pPr>
        <w:spacing w:after="80"/>
        <w:jc w:val="center"/>
        <w:rPr>
          <w:rFonts w:asciiTheme="minorHAnsi" w:hAnsiTheme="minorHAnsi" w:cstheme="minorHAnsi"/>
          <w:sz w:val="40"/>
          <w:szCs w:val="40"/>
        </w:rPr>
      </w:pPr>
      <w:r w:rsidRPr="00780159">
        <w:rPr>
          <w:rFonts w:asciiTheme="minorHAnsi" w:hAnsiTheme="minorHAnsi" w:cstheme="minorHAnsi"/>
          <w:b/>
          <w:bCs/>
          <w:sz w:val="40"/>
          <w:szCs w:val="40"/>
        </w:rPr>
        <w:t>Manual Test Plan</w:t>
      </w:r>
    </w:p>
    <w:p w:rsidR="00C9342A" w:rsidRPr="00780159" w:rsidRDefault="009F728C" w:rsidP="00780159">
      <w:pPr>
        <w:spacing w:after="400"/>
        <w:jc w:val="center"/>
        <w:rPr>
          <w:rFonts w:asciiTheme="minorHAnsi" w:hAnsiTheme="minorHAnsi" w:cstheme="minorHAnsi"/>
          <w:sz w:val="24"/>
          <w:szCs w:val="22"/>
        </w:rPr>
      </w:pPr>
      <w:r w:rsidRPr="00780159">
        <w:rPr>
          <w:rFonts w:asciiTheme="minorHAnsi" w:hAnsiTheme="minorHAnsi" w:cstheme="minorHAnsi"/>
          <w:i/>
          <w:iCs/>
          <w:sz w:val="24"/>
          <w:szCs w:val="22"/>
        </w:rPr>
        <w:t xml:space="preserve">Fund Transfer Module — </w:t>
      </w:r>
      <w:proofErr w:type="spellStart"/>
      <w:r w:rsidRPr="00780159">
        <w:rPr>
          <w:rFonts w:asciiTheme="minorHAnsi" w:hAnsiTheme="minorHAnsi" w:cstheme="minorHAnsi"/>
          <w:i/>
          <w:iCs/>
          <w:sz w:val="24"/>
          <w:szCs w:val="22"/>
        </w:rPr>
        <w:t>ParaBank</w:t>
      </w:r>
      <w:proofErr w:type="spellEnd"/>
    </w:p>
    <w:tbl>
      <w:tblPr>
        <w:tblStyle w:val="TableGrid"/>
        <w:tblW w:w="10075" w:type="dxa"/>
        <w:tblLook w:val="0000" w:firstRow="0" w:lastRow="0" w:firstColumn="0" w:lastColumn="0" w:noHBand="0" w:noVBand="0"/>
      </w:tblPr>
      <w:tblGrid>
        <w:gridCol w:w="1975"/>
        <w:gridCol w:w="8100"/>
      </w:tblGrid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Section 1 – Requirements Analysis, Manual Test Plan, Test Scenarios, Test Cases &amp; RTM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Playwright Advanced Capstone Project (UI + API + Integration)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ParaBank</w:t>
            </w:r>
            <w:proofErr w:type="spellEnd"/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https://parabank.parasoft.com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API Swagger URL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https://parabank.parasoft.com/parabank/api-docs/index.html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Arghya Gayen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Track</w:t>
            </w:r>
          </w:p>
        </w:tc>
        <w:tc>
          <w:tcPr>
            <w:tcW w:w="8100" w:type="dxa"/>
          </w:tcPr>
          <w:p w:rsidR="00C9342A" w:rsidRPr="00780159" w:rsidRDefault="009F728C" w:rsidP="007275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Quali</w:t>
            </w:r>
            <w:r w:rsidR="00727574">
              <w:rPr>
                <w:rFonts w:asciiTheme="minorHAnsi" w:hAnsiTheme="minorHAnsi" w:cstheme="minorHAnsi"/>
                <w:sz w:val="22"/>
                <w:szCs w:val="22"/>
              </w:rPr>
              <w:t>ty Engineering – Manual Testing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8100" w:type="dxa"/>
          </w:tcPr>
          <w:p w:rsidR="00C9342A" w:rsidRPr="00780159" w:rsidRDefault="00A87C2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="009F728C" w:rsidRPr="00780159">
              <w:rPr>
                <w:rFonts w:asciiTheme="minorHAnsi" w:hAnsiTheme="minorHAnsi" w:cstheme="minorHAnsi"/>
                <w:sz w:val="22"/>
                <w:szCs w:val="22"/>
              </w:rPr>
              <w:t xml:space="preserve"> May 2026</w:t>
            </w:r>
          </w:p>
        </w:tc>
      </w:tr>
      <w:tr w:rsidR="00780159" w:rsidRPr="00780159" w:rsidTr="00780159">
        <w:tc>
          <w:tcPr>
            <w:tcW w:w="197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Plan ID</w:t>
            </w:r>
          </w:p>
        </w:tc>
        <w:tc>
          <w:tcPr>
            <w:tcW w:w="8100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TP-FT-01</w:t>
            </w:r>
          </w:p>
        </w:tc>
      </w:tr>
    </w:tbl>
    <w:p w:rsidR="00780159" w:rsidRDefault="00780159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780159">
        <w:rPr>
          <w:rFonts w:asciiTheme="minorHAnsi" w:hAnsiTheme="minorHAnsi" w:cstheme="minorHAnsi"/>
          <w:color w:val="auto"/>
          <w:sz w:val="32"/>
          <w:szCs w:val="32"/>
        </w:rPr>
        <w:t>Introduction</w:t>
      </w:r>
    </w:p>
    <w:p w:rsidR="00C9342A" w:rsidRPr="00780159" w:rsidRDefault="009F728C">
      <w:pPr>
        <w:spacing w:before="80" w:after="8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 xml:space="preserve">This test plan defines the testing approach, scope, objectives, strategy, deliverables, and validation activities for the </w:t>
      </w:r>
      <w:proofErr w:type="spellStart"/>
      <w:r w:rsidRPr="00780159">
        <w:rPr>
          <w:rFonts w:asciiTheme="minorHAnsi" w:hAnsiTheme="minorHAnsi" w:cstheme="minorHAnsi"/>
          <w:sz w:val="22"/>
          <w:szCs w:val="22"/>
        </w:rPr>
        <w:t>ParaBank</w:t>
      </w:r>
      <w:proofErr w:type="spellEnd"/>
      <w:r w:rsidRPr="00780159">
        <w:rPr>
          <w:rFonts w:asciiTheme="minorHAnsi" w:hAnsiTheme="minorHAnsi" w:cstheme="minorHAnsi"/>
          <w:sz w:val="22"/>
          <w:szCs w:val="22"/>
        </w:rPr>
        <w:t xml:space="preserve"> Fund Transfer module, covering functional requirements FR-05 through FR-09.</w:t>
      </w:r>
    </w:p>
    <w:p w:rsidR="00C9342A" w:rsidRPr="00780159" w:rsidRDefault="009F728C" w:rsidP="00780159">
      <w:pPr>
        <w:spacing w:before="80" w:after="8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The testing validates fund transfer workflows across the UI (Transfer Funds page), the REST API (account balance endpoints), and Hybrid (UI action + API assertion) scenarios. Both positive flows and negative/boundary conditions are included.</w:t>
      </w: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Scope</w:t>
      </w:r>
    </w:p>
    <w:p w:rsidR="00C9342A" w:rsidRPr="00780159" w:rsidRDefault="009F728C">
      <w:pPr>
        <w:spacing w:before="80" w:after="80"/>
        <w:rPr>
          <w:rFonts w:asciiTheme="minorHAnsi" w:hAnsiTheme="minorHAnsi" w:cstheme="minorHAnsi"/>
          <w:sz w:val="24"/>
          <w:szCs w:val="22"/>
        </w:rPr>
      </w:pPr>
      <w:r w:rsidRPr="00780159">
        <w:rPr>
          <w:rFonts w:asciiTheme="minorHAnsi" w:hAnsiTheme="minorHAnsi" w:cstheme="minorHAnsi"/>
          <w:b/>
          <w:bCs/>
          <w:sz w:val="24"/>
          <w:szCs w:val="22"/>
        </w:rPr>
        <w:t>In Scope: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 xml:space="preserve">Fund transfer via the </w:t>
      </w:r>
      <w:proofErr w:type="spellStart"/>
      <w:r w:rsidRPr="00780159">
        <w:rPr>
          <w:rFonts w:asciiTheme="minorHAnsi" w:hAnsiTheme="minorHAnsi" w:cstheme="minorHAnsi"/>
          <w:sz w:val="22"/>
          <w:szCs w:val="22"/>
        </w:rPr>
        <w:t>ParaBank</w:t>
      </w:r>
      <w:proofErr w:type="spellEnd"/>
      <w:r w:rsidRPr="00780159">
        <w:rPr>
          <w:rFonts w:asciiTheme="minorHAnsi" w:hAnsiTheme="minorHAnsi" w:cstheme="minorHAnsi"/>
          <w:sz w:val="22"/>
          <w:szCs w:val="22"/>
        </w:rPr>
        <w:t xml:space="preserve"> Transfer Funds UI page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Minimum, exact-balance, and standard positive transfer amounts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API balance validation (source deduction and destination credit)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Before/after delta verification against transfer amount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UI success message and confirmation detail validation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Negative scenarios: insufficient funds, self-transfer, zero amount, negative amount, non-numeric input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Hybrid end-to-end flows combining UI transfer with API balance assertions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Concurrency test: double-click transfer guard</w:t>
      </w:r>
    </w:p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</w:p>
    <w:p w:rsidR="00C9342A" w:rsidRPr="00780159" w:rsidRDefault="009F728C">
      <w:pPr>
        <w:spacing w:before="80" w:after="80"/>
        <w:rPr>
          <w:rFonts w:asciiTheme="minorHAnsi" w:hAnsiTheme="minorHAnsi" w:cstheme="minorHAnsi"/>
          <w:sz w:val="24"/>
          <w:szCs w:val="22"/>
        </w:rPr>
      </w:pPr>
      <w:r w:rsidRPr="00780159">
        <w:rPr>
          <w:rFonts w:asciiTheme="minorHAnsi" w:hAnsiTheme="minorHAnsi" w:cstheme="minorHAnsi"/>
          <w:b/>
          <w:bCs/>
          <w:sz w:val="24"/>
          <w:szCs w:val="22"/>
        </w:rPr>
        <w:t>Out of Scope: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Account creation and user registration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Login / authentication flows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Security and penetration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Performance / load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Database-level validation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Accessibility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Third-party integrations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Production environment validation</w:t>
      </w: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lastRenderedPageBreak/>
        <w:t>Objective</w:t>
      </w:r>
    </w:p>
    <w:tbl>
      <w:tblPr>
        <w:tblStyle w:val="TableGrid"/>
        <w:tblW w:w="10075" w:type="dxa"/>
        <w:tblLook w:val="0000" w:firstRow="0" w:lastRow="0" w:firstColumn="0" w:lastColumn="0" w:noHBand="0" w:noVBand="0"/>
      </w:tblPr>
      <w:tblGrid>
        <w:gridCol w:w="1413"/>
        <w:gridCol w:w="8662"/>
      </w:tblGrid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Objective ID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Objective Description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OBJ-01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 successful fund transfer between two accounts using valid inputs via UI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OBJ-02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Verify minimum, maximum, and boundary amount handling in fund transfer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OBJ-03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 source and destination account balances via API after transfers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OBJ-04</w:t>
            </w:r>
          </w:p>
        </w:tc>
        <w:tc>
          <w:tcPr>
            <w:tcW w:w="8662" w:type="dxa"/>
          </w:tcPr>
          <w:p w:rsidR="00C9342A" w:rsidRPr="00780159" w:rsidRDefault="009F728C" w:rsidP="008B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 xml:space="preserve">Verify before/after balance </w:t>
            </w:r>
            <w:r w:rsidR="008B71B3">
              <w:rPr>
                <w:rFonts w:asciiTheme="minorHAnsi" w:hAnsiTheme="minorHAnsi" w:cstheme="minorHAnsi"/>
                <w:sz w:val="22"/>
                <w:szCs w:val="22"/>
              </w:rPr>
              <w:t>data</w:t>
            </w: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 xml:space="preserve"> matches the exact transfer amount with no rounding errors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OBJ-05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 UI confirmation messages display correct transfer details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OBJ-06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Perform negative testing: insufficient funds, self-transfer, zero, negative, and non-numeric amounts</w:t>
            </w:r>
          </w:p>
        </w:tc>
      </w:tr>
      <w:tr w:rsidR="00780159" w:rsidRPr="00780159" w:rsidTr="00780159">
        <w:tc>
          <w:tcPr>
            <w:tcW w:w="1413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OBJ-07</w:t>
            </w:r>
          </w:p>
        </w:tc>
        <w:tc>
          <w:tcPr>
            <w:tcW w:w="8662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Perform Hybrid (UI + API) end-to-end validation of complete transfer flows</w:t>
            </w:r>
          </w:p>
        </w:tc>
      </w:tr>
    </w:tbl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Test Items</w:t>
      </w:r>
    </w:p>
    <w:tbl>
      <w:tblPr>
        <w:tblStyle w:val="TableGrid"/>
        <w:tblW w:w="10075" w:type="dxa"/>
        <w:tblLook w:val="0000" w:firstRow="0" w:lastRow="0" w:firstColumn="0" w:lastColumn="0" w:noHBand="0" w:noVBand="0"/>
      </w:tblPr>
      <w:tblGrid>
        <w:gridCol w:w="355"/>
        <w:gridCol w:w="3609"/>
        <w:gridCol w:w="6111"/>
      </w:tblGrid>
      <w:tr w:rsidR="00780159" w:rsidRPr="00780159" w:rsidTr="00780159">
        <w:tc>
          <w:tcPr>
            <w:tcW w:w="355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609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Item</w:t>
            </w:r>
          </w:p>
        </w:tc>
        <w:tc>
          <w:tcPr>
            <w:tcW w:w="6111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:rsidR="00780159" w:rsidRPr="00780159" w:rsidTr="00780159">
        <w:tc>
          <w:tcPr>
            <w:tcW w:w="355" w:type="dxa"/>
          </w:tcPr>
          <w:p w:rsidR="00C9342A" w:rsidRPr="00780159" w:rsidRDefault="009F728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609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Transfer Funds Page (UI)</w:t>
            </w:r>
          </w:p>
        </w:tc>
        <w:tc>
          <w:tcPr>
            <w:tcW w:w="6111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Validates UI interactions on /</w:t>
            </w:r>
            <w:proofErr w:type="spellStart"/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parabank</w:t>
            </w:r>
            <w:proofErr w:type="spellEnd"/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/transfer.htm</w:t>
            </w:r>
          </w:p>
        </w:tc>
      </w:tr>
      <w:tr w:rsidR="00780159" w:rsidRPr="00780159" w:rsidTr="00780159">
        <w:tc>
          <w:tcPr>
            <w:tcW w:w="355" w:type="dxa"/>
          </w:tcPr>
          <w:p w:rsidR="00C9342A" w:rsidRPr="00780159" w:rsidRDefault="009F728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609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GET /accounts/{id} (API)</w:t>
            </w:r>
          </w:p>
        </w:tc>
        <w:tc>
          <w:tcPr>
            <w:tcW w:w="6111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Validates balance retrieval for source and destination accounts</w:t>
            </w:r>
          </w:p>
        </w:tc>
      </w:tr>
      <w:tr w:rsidR="00780159" w:rsidRPr="00780159" w:rsidTr="00780159">
        <w:tc>
          <w:tcPr>
            <w:tcW w:w="355" w:type="dxa"/>
          </w:tcPr>
          <w:p w:rsidR="00C9342A" w:rsidRPr="00780159" w:rsidRDefault="009F728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609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GET /customers/{id}/accounts (API)</w:t>
            </w:r>
          </w:p>
        </w:tc>
        <w:tc>
          <w:tcPr>
            <w:tcW w:w="6111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Validates full account list for a given customer</w:t>
            </w:r>
          </w:p>
        </w:tc>
      </w:tr>
      <w:tr w:rsidR="00780159" w:rsidRPr="00780159" w:rsidTr="00780159">
        <w:tc>
          <w:tcPr>
            <w:tcW w:w="355" w:type="dxa"/>
          </w:tcPr>
          <w:p w:rsidR="00C9342A" w:rsidRPr="00780159" w:rsidRDefault="009F728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3609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POST /transfer (API, indirect)</w:t>
            </w:r>
          </w:p>
        </w:tc>
        <w:tc>
          <w:tcPr>
            <w:tcW w:w="6111" w:type="dxa"/>
          </w:tcPr>
          <w:p w:rsidR="00C9342A" w:rsidRPr="00780159" w:rsidRDefault="009F72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0159">
              <w:rPr>
                <w:rFonts w:asciiTheme="minorHAnsi" w:hAnsiTheme="minorHAnsi" w:cstheme="minorHAnsi"/>
                <w:sz w:val="22"/>
                <w:szCs w:val="22"/>
              </w:rPr>
              <w:t>Transfer triggered via UI; validated by subsequent GET calls</w:t>
            </w:r>
          </w:p>
        </w:tc>
      </w:tr>
    </w:tbl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Test Types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Functional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UI Testing (browser-based validation via Microsoft Edge)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API Testing (REST endpoint validation via Postman)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Hybrid Testing (UI action with API-layer assertion)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Positive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Negative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Boundary Value Testing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Validation Message Testing</w:t>
      </w:r>
    </w:p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Test Strategy</w:t>
      </w:r>
    </w:p>
    <w:p w:rsidR="00C9342A" w:rsidRPr="00780159" w:rsidRDefault="009F728C">
      <w:pPr>
        <w:spacing w:before="80" w:after="8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 xml:space="preserve">Testing is performed manually to validate the Fund Transfer module of the </w:t>
      </w:r>
      <w:proofErr w:type="spellStart"/>
      <w:r w:rsidRPr="00780159">
        <w:rPr>
          <w:rFonts w:asciiTheme="minorHAnsi" w:hAnsiTheme="minorHAnsi" w:cstheme="minorHAnsi"/>
          <w:sz w:val="22"/>
          <w:szCs w:val="22"/>
        </w:rPr>
        <w:t>ParaBank</w:t>
      </w:r>
      <w:proofErr w:type="spellEnd"/>
      <w:r w:rsidRPr="00780159">
        <w:rPr>
          <w:rFonts w:asciiTheme="minorHAnsi" w:hAnsiTheme="minorHAnsi" w:cstheme="minorHAnsi"/>
          <w:sz w:val="22"/>
          <w:szCs w:val="22"/>
        </w:rPr>
        <w:t xml:space="preserve"> application. The strategy covers: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UI validation of transfer flow, success messages, and confirmation details across positive and negative scenarios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API validation of account balance changes using GET /accounts/{id} before and after each transfer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Hybrid validation combining a UI-initiated transfer with API-layer balance assertions to confirm data consistency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Boundary and edge-case validation: minimum amount ($0.01), exact balance drain, zero, negative, and non-numeric amounts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Negative scenario testing to confirm system-level guards against overdraft, self-transfer, and invalid inputs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Requirement traceability mapped in the RTM to ensure FR-05 through FR-09 are fully covered</w:t>
      </w:r>
    </w:p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36"/>
        </w:rPr>
      </w:pPr>
      <w:r w:rsidRPr="00780159">
        <w:rPr>
          <w:rFonts w:asciiTheme="minorHAnsi" w:hAnsiTheme="minorHAnsi" w:cstheme="minorHAnsi"/>
          <w:color w:val="auto"/>
          <w:sz w:val="32"/>
          <w:szCs w:val="36"/>
        </w:rPr>
        <w:lastRenderedPageBreak/>
        <w:t>Entry &amp; Exit Criteria</w:t>
      </w:r>
    </w:p>
    <w:p w:rsidR="00780159" w:rsidRPr="00780159" w:rsidRDefault="00780159" w:rsidP="00780159">
      <w:pPr>
        <w:rPr>
          <w:rFonts w:asciiTheme="minorHAnsi" w:hAnsiTheme="minorHAnsi" w:cstheme="minorHAnsi"/>
          <w:b/>
          <w:sz w:val="24"/>
          <w:szCs w:val="22"/>
        </w:rPr>
      </w:pPr>
      <w:r w:rsidRPr="00780159">
        <w:rPr>
          <w:rFonts w:asciiTheme="minorHAnsi" w:hAnsiTheme="minorHAnsi" w:cstheme="minorHAnsi"/>
          <w:b/>
          <w:sz w:val="24"/>
          <w:szCs w:val="22"/>
        </w:rPr>
        <w:t>Entry Criteria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780159">
        <w:rPr>
          <w:rFonts w:asciiTheme="minorHAnsi" w:hAnsiTheme="minorHAnsi" w:cstheme="minorHAnsi"/>
          <w:sz w:val="22"/>
          <w:szCs w:val="22"/>
        </w:rPr>
        <w:t>ParaBank</w:t>
      </w:r>
      <w:proofErr w:type="spellEnd"/>
      <w:r w:rsidRPr="00780159">
        <w:rPr>
          <w:rFonts w:asciiTheme="minorHAnsi" w:hAnsiTheme="minorHAnsi" w:cstheme="minorHAnsi"/>
          <w:sz w:val="22"/>
          <w:szCs w:val="22"/>
        </w:rPr>
        <w:t xml:space="preserve"> application is accessible at parabank.parasoft.com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API endpoints are available and returning valid responses</w:t>
      </w:r>
    </w:p>
    <w:p w:rsidR="00780159" w:rsidRPr="00780159" w:rsidRDefault="008B71B3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•</w:t>
      </w:r>
      <w:r>
        <w:rPr>
          <w:rFonts w:asciiTheme="minorHAnsi" w:hAnsiTheme="minorHAnsi" w:cstheme="minorHAnsi"/>
          <w:sz w:val="22"/>
          <w:szCs w:val="22"/>
        </w:rPr>
        <w:tab/>
        <w:t>Test user account</w:t>
      </w:r>
      <w:r w:rsidR="00780159" w:rsidRPr="00780159">
        <w:rPr>
          <w:rFonts w:asciiTheme="minorHAnsi" w:hAnsiTheme="minorHAnsi" w:cstheme="minorHAnsi"/>
          <w:sz w:val="22"/>
          <w:szCs w:val="22"/>
        </w:rPr>
        <w:t xml:space="preserve"> is active with at least two accounts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Known pre-transfer account balances recorded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Test scenarios and test cases are reviewed and approved</w:t>
      </w:r>
    </w:p>
    <w:p w:rsidR="00C9342A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Postman / browser environment is configured</w:t>
      </w:r>
    </w:p>
    <w:p w:rsidR="00780159" w:rsidRPr="00780159" w:rsidRDefault="00780159" w:rsidP="00780159">
      <w:pPr>
        <w:rPr>
          <w:rFonts w:asciiTheme="minorHAnsi" w:hAnsiTheme="minorHAnsi" w:cstheme="minorHAnsi"/>
          <w:b/>
          <w:sz w:val="24"/>
          <w:szCs w:val="22"/>
        </w:rPr>
      </w:pPr>
      <w:r w:rsidRPr="00780159">
        <w:rPr>
          <w:rFonts w:asciiTheme="minorHAnsi" w:hAnsiTheme="minorHAnsi" w:cstheme="minorHAnsi"/>
          <w:b/>
          <w:sz w:val="24"/>
          <w:szCs w:val="22"/>
        </w:rPr>
        <w:t>Exit Criteria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All 19 planned test cases executed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All Critical and High defects logged with evidence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RTM coverage completed across FR-05 to FR-09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Test Execution Report finalized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Defect Report submitted</w:t>
      </w:r>
    </w:p>
    <w:p w:rsidR="00780159" w:rsidRPr="00780159" w:rsidRDefault="00780159" w:rsidP="00780159">
      <w:pPr>
        <w:ind w:left="567" w:hanging="283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•</w:t>
      </w:r>
      <w:r w:rsidRPr="00780159">
        <w:rPr>
          <w:rFonts w:asciiTheme="minorHAnsi" w:hAnsiTheme="minorHAnsi" w:cstheme="minorHAnsi"/>
          <w:sz w:val="22"/>
          <w:szCs w:val="22"/>
        </w:rPr>
        <w:tab/>
        <w:t>No P1 defect remains unresolved at sign-off</w:t>
      </w: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Test Deliverables</w:t>
      </w:r>
    </w:p>
    <w:p w:rsidR="00780159" w:rsidRDefault="009F728C" w:rsidP="00780159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 xml:space="preserve">Test Scenarios </w:t>
      </w:r>
    </w:p>
    <w:p w:rsidR="00C9342A" w:rsidRPr="00780159" w:rsidRDefault="00780159" w:rsidP="00780159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Test Cases 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Require</w:t>
      </w:r>
      <w:r w:rsidR="00780159">
        <w:rPr>
          <w:rFonts w:asciiTheme="minorHAnsi" w:hAnsiTheme="minorHAnsi" w:cstheme="minorHAnsi"/>
          <w:sz w:val="22"/>
          <w:szCs w:val="22"/>
        </w:rPr>
        <w:t xml:space="preserve">ment Traceability Matrix – RTM </w:t>
      </w:r>
    </w:p>
    <w:p w:rsidR="00C9342A" w:rsidRPr="00780159" w:rsidRDefault="00780159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Manual Test Execution Report </w:t>
      </w:r>
    </w:p>
    <w:p w:rsidR="00C9342A" w:rsidRPr="00780159" w:rsidRDefault="00780159" w:rsidP="00780159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Defect Report</w:t>
      </w:r>
    </w:p>
    <w:p w:rsidR="00C9342A" w:rsidRPr="00780159" w:rsidRDefault="009F728C">
      <w:pPr>
        <w:pStyle w:val="Heading2"/>
        <w:rPr>
          <w:rFonts w:asciiTheme="minorHAnsi" w:hAnsiTheme="minorHAnsi" w:cstheme="minorHAnsi"/>
          <w:color w:val="auto"/>
          <w:sz w:val="32"/>
          <w:szCs w:val="22"/>
        </w:rPr>
      </w:pPr>
      <w:r w:rsidRPr="00780159">
        <w:rPr>
          <w:rFonts w:asciiTheme="minorHAnsi" w:hAnsiTheme="minorHAnsi" w:cstheme="minorHAnsi"/>
          <w:color w:val="auto"/>
          <w:sz w:val="32"/>
          <w:szCs w:val="22"/>
        </w:rPr>
        <w:t>Assumptions &amp; Dependencies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proofErr w:type="spellStart"/>
      <w:r w:rsidRPr="00780159">
        <w:rPr>
          <w:rFonts w:asciiTheme="minorHAnsi" w:hAnsiTheme="minorHAnsi" w:cstheme="minorHAnsi"/>
          <w:sz w:val="22"/>
          <w:szCs w:val="22"/>
        </w:rPr>
        <w:t>ParaBank</w:t>
      </w:r>
      <w:proofErr w:type="spellEnd"/>
      <w:r w:rsidRPr="00780159">
        <w:rPr>
          <w:rFonts w:asciiTheme="minorHAnsi" w:hAnsiTheme="minorHAnsi" w:cstheme="minorHAnsi"/>
          <w:sz w:val="22"/>
          <w:szCs w:val="22"/>
        </w:rPr>
        <w:t xml:space="preserve"> demo instance remains accessible and functional throughout the test cycle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API endpoints return valid JSON responses for all GET /accounts calls</w:t>
      </w:r>
    </w:p>
    <w:p w:rsidR="00C9342A" w:rsidRPr="00780159" w:rsidRDefault="008B71B3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Test user accounts </w:t>
      </w:r>
      <w:r w:rsidR="009F728C" w:rsidRPr="00780159">
        <w:rPr>
          <w:rFonts w:asciiTheme="minorHAnsi" w:hAnsiTheme="minorHAnsi" w:cstheme="minorHAnsi"/>
          <w:sz w:val="22"/>
          <w:szCs w:val="22"/>
        </w:rPr>
        <w:t>remains active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Stable internet connectivity is maintained during test execution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No environment-level changes are made during the test window</w:t>
      </w:r>
    </w:p>
    <w:p w:rsidR="00C9342A" w:rsidRPr="00780159" w:rsidRDefault="009F728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780159">
        <w:rPr>
          <w:rFonts w:asciiTheme="minorHAnsi" w:hAnsiTheme="minorHAnsi" w:cstheme="minorHAnsi"/>
          <w:sz w:val="22"/>
          <w:szCs w:val="22"/>
        </w:rPr>
        <w:t>Postman and Microsoft Edge browser are available for execution</w:t>
      </w:r>
    </w:p>
    <w:p w:rsidR="00C9342A" w:rsidRPr="00780159" w:rsidRDefault="00C9342A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sectPr w:rsidR="00C9342A" w:rsidRPr="0078015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81F" w:rsidRDefault="001B681F">
      <w:r>
        <w:separator/>
      </w:r>
    </w:p>
  </w:endnote>
  <w:endnote w:type="continuationSeparator" w:id="0">
    <w:p w:rsidR="001B681F" w:rsidRDefault="001B6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42A" w:rsidRDefault="009F728C">
    <w:pPr>
      <w:pBdr>
        <w:top w:val="single" w:sz="6" w:space="1" w:color="2E75B6"/>
      </w:pBdr>
      <w:tabs>
        <w:tab w:val="right" w:pos="9360"/>
      </w:tabs>
    </w:pPr>
    <w:r>
      <w:rPr>
        <w:color w:val="595959"/>
        <w:sz w:val="16"/>
        <w:szCs w:val="16"/>
      </w:rPr>
      <w:t>Capgemini Left Shift Training — Playwright Advanced Capstone</w:t>
    </w:r>
    <w:r>
      <w:rPr>
        <w:color w:val="595959"/>
        <w:sz w:val="16"/>
        <w:szCs w:val="16"/>
      </w:rPr>
      <w:tab/>
      <w:t xml:space="preserve">Page </w:t>
    </w:r>
    <w:r>
      <w:rPr>
        <w:color w:val="1F4E79"/>
        <w:sz w:val="16"/>
        <w:szCs w:val="16"/>
      </w:rPr>
      <w:fldChar w:fldCharType="begin"/>
    </w:r>
    <w:r>
      <w:rPr>
        <w:color w:val="1F4E79"/>
        <w:sz w:val="16"/>
        <w:szCs w:val="16"/>
      </w:rPr>
      <w:instrText>PAGE</w:instrText>
    </w:r>
    <w:r>
      <w:rPr>
        <w:color w:val="1F4E79"/>
        <w:sz w:val="16"/>
        <w:szCs w:val="16"/>
      </w:rPr>
      <w:fldChar w:fldCharType="separate"/>
    </w:r>
    <w:r w:rsidR="004E17ED">
      <w:rPr>
        <w:noProof/>
        <w:color w:val="1F4E79"/>
        <w:sz w:val="16"/>
        <w:szCs w:val="16"/>
      </w:rPr>
      <w:t>3</w:t>
    </w:r>
    <w:r>
      <w:rPr>
        <w:color w:val="1F4E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81F" w:rsidRDefault="001B681F">
      <w:r>
        <w:separator/>
      </w:r>
    </w:p>
  </w:footnote>
  <w:footnote w:type="continuationSeparator" w:id="0">
    <w:p w:rsidR="001B681F" w:rsidRDefault="001B68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42A" w:rsidRPr="00780159" w:rsidRDefault="009F728C">
    <w:pPr>
      <w:pBdr>
        <w:bottom w:val="single" w:sz="6" w:space="1" w:color="2E75B6"/>
      </w:pBdr>
      <w:tabs>
        <w:tab w:val="right" w:pos="9360"/>
      </w:tabs>
    </w:pPr>
    <w:r w:rsidRPr="00780159">
      <w:rPr>
        <w:b/>
        <w:bCs/>
        <w:sz w:val="18"/>
        <w:szCs w:val="18"/>
      </w:rPr>
      <w:t xml:space="preserve">Manual Test Plan — Fund Transfer Module | </w:t>
    </w:r>
    <w:proofErr w:type="spellStart"/>
    <w:r w:rsidRPr="00780159">
      <w:rPr>
        <w:b/>
        <w:bCs/>
        <w:sz w:val="18"/>
        <w:szCs w:val="18"/>
      </w:rPr>
      <w:t>ParaBank</w:t>
    </w:r>
    <w:proofErr w:type="spellEnd"/>
    <w:r w:rsidR="00AF1A0A" w:rsidRPr="00780159">
      <w:rPr>
        <w:sz w:val="16"/>
        <w:szCs w:val="16"/>
      </w:rPr>
      <w:tab/>
    </w:r>
    <w:r w:rsidR="00AF1A0A" w:rsidRPr="00780159">
      <w:rPr>
        <w:sz w:val="16"/>
        <w:szCs w:val="16"/>
      </w:rPr>
      <w:tab/>
      <w:t>TP-FT-01 | Arghya Gayen | 14</w:t>
    </w:r>
    <w:r w:rsidRPr="00780159">
      <w:rPr>
        <w:sz w:val="16"/>
        <w:szCs w:val="16"/>
      </w:rPr>
      <w:t xml:space="preserve">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2664D"/>
    <w:multiLevelType w:val="hybridMultilevel"/>
    <w:tmpl w:val="B0C8796C"/>
    <w:lvl w:ilvl="0" w:tplc="C9BA7EE4">
      <w:start w:val="1"/>
      <w:numFmt w:val="bullet"/>
      <w:lvlText w:val="●"/>
      <w:lvlJc w:val="left"/>
      <w:pPr>
        <w:ind w:left="720" w:hanging="360"/>
      </w:pPr>
    </w:lvl>
    <w:lvl w:ilvl="1" w:tplc="56461FF0">
      <w:start w:val="1"/>
      <w:numFmt w:val="bullet"/>
      <w:lvlText w:val="○"/>
      <w:lvlJc w:val="left"/>
      <w:pPr>
        <w:ind w:left="1440" w:hanging="360"/>
      </w:pPr>
    </w:lvl>
    <w:lvl w:ilvl="2" w:tplc="8654A718">
      <w:start w:val="1"/>
      <w:numFmt w:val="bullet"/>
      <w:lvlText w:val="■"/>
      <w:lvlJc w:val="left"/>
      <w:pPr>
        <w:ind w:left="2160" w:hanging="360"/>
      </w:pPr>
    </w:lvl>
    <w:lvl w:ilvl="3" w:tplc="F2FC50A6">
      <w:start w:val="1"/>
      <w:numFmt w:val="bullet"/>
      <w:lvlText w:val="●"/>
      <w:lvlJc w:val="left"/>
      <w:pPr>
        <w:ind w:left="2880" w:hanging="360"/>
      </w:pPr>
    </w:lvl>
    <w:lvl w:ilvl="4" w:tplc="48E2928C">
      <w:start w:val="1"/>
      <w:numFmt w:val="bullet"/>
      <w:lvlText w:val="○"/>
      <w:lvlJc w:val="left"/>
      <w:pPr>
        <w:ind w:left="3600" w:hanging="360"/>
      </w:pPr>
    </w:lvl>
    <w:lvl w:ilvl="5" w:tplc="A2C4A530">
      <w:start w:val="1"/>
      <w:numFmt w:val="bullet"/>
      <w:lvlText w:val="■"/>
      <w:lvlJc w:val="left"/>
      <w:pPr>
        <w:ind w:left="4320" w:hanging="360"/>
      </w:pPr>
    </w:lvl>
    <w:lvl w:ilvl="6" w:tplc="C02CD840">
      <w:start w:val="1"/>
      <w:numFmt w:val="bullet"/>
      <w:lvlText w:val="●"/>
      <w:lvlJc w:val="left"/>
      <w:pPr>
        <w:ind w:left="5040" w:hanging="360"/>
      </w:pPr>
    </w:lvl>
    <w:lvl w:ilvl="7" w:tplc="C15C9552">
      <w:start w:val="1"/>
      <w:numFmt w:val="bullet"/>
      <w:lvlText w:val="●"/>
      <w:lvlJc w:val="left"/>
      <w:pPr>
        <w:ind w:left="5760" w:hanging="360"/>
      </w:pPr>
    </w:lvl>
    <w:lvl w:ilvl="8" w:tplc="E7A06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90156"/>
    <w:multiLevelType w:val="hybridMultilevel"/>
    <w:tmpl w:val="CA2EFE84"/>
    <w:lvl w:ilvl="0" w:tplc="929860D0">
      <w:start w:val="1"/>
      <w:numFmt w:val="bullet"/>
      <w:lvlText w:val="◦"/>
      <w:lvlJc w:val="left"/>
      <w:pPr>
        <w:ind w:left="1000" w:hanging="280"/>
      </w:pPr>
    </w:lvl>
    <w:lvl w:ilvl="1" w:tplc="882A361E">
      <w:numFmt w:val="decimal"/>
      <w:lvlText w:val=""/>
      <w:lvlJc w:val="left"/>
    </w:lvl>
    <w:lvl w:ilvl="2" w:tplc="701A1C6A">
      <w:numFmt w:val="decimal"/>
      <w:lvlText w:val=""/>
      <w:lvlJc w:val="left"/>
    </w:lvl>
    <w:lvl w:ilvl="3" w:tplc="97EEF21A">
      <w:numFmt w:val="decimal"/>
      <w:lvlText w:val=""/>
      <w:lvlJc w:val="left"/>
    </w:lvl>
    <w:lvl w:ilvl="4" w:tplc="53DCAF60">
      <w:numFmt w:val="decimal"/>
      <w:lvlText w:val=""/>
      <w:lvlJc w:val="left"/>
    </w:lvl>
    <w:lvl w:ilvl="5" w:tplc="91EA4EEE">
      <w:numFmt w:val="decimal"/>
      <w:lvlText w:val=""/>
      <w:lvlJc w:val="left"/>
    </w:lvl>
    <w:lvl w:ilvl="6" w:tplc="55DA0C34">
      <w:numFmt w:val="decimal"/>
      <w:lvlText w:val=""/>
      <w:lvlJc w:val="left"/>
    </w:lvl>
    <w:lvl w:ilvl="7" w:tplc="93C44654">
      <w:numFmt w:val="decimal"/>
      <w:lvlText w:val=""/>
      <w:lvlJc w:val="left"/>
    </w:lvl>
    <w:lvl w:ilvl="8" w:tplc="907EBE34">
      <w:numFmt w:val="decimal"/>
      <w:lvlText w:val=""/>
      <w:lvlJc w:val="left"/>
    </w:lvl>
  </w:abstractNum>
  <w:abstractNum w:abstractNumId="2" w15:restartNumberingAfterBreak="0">
    <w:nsid w:val="39663D24"/>
    <w:multiLevelType w:val="hybridMultilevel"/>
    <w:tmpl w:val="80D61530"/>
    <w:lvl w:ilvl="0" w:tplc="4ACE5840">
      <w:start w:val="1"/>
      <w:numFmt w:val="decimal"/>
      <w:lvlText w:val="%1."/>
      <w:lvlJc w:val="left"/>
      <w:pPr>
        <w:ind w:left="560" w:hanging="280"/>
      </w:pPr>
    </w:lvl>
    <w:lvl w:ilvl="1" w:tplc="F7B46F66">
      <w:numFmt w:val="decimal"/>
      <w:lvlText w:val=""/>
      <w:lvlJc w:val="left"/>
    </w:lvl>
    <w:lvl w:ilvl="2" w:tplc="F54E42BC">
      <w:numFmt w:val="decimal"/>
      <w:lvlText w:val=""/>
      <w:lvlJc w:val="left"/>
    </w:lvl>
    <w:lvl w:ilvl="3" w:tplc="9A3C8EB2">
      <w:numFmt w:val="decimal"/>
      <w:lvlText w:val=""/>
      <w:lvlJc w:val="left"/>
    </w:lvl>
    <w:lvl w:ilvl="4" w:tplc="C5AA8E18">
      <w:numFmt w:val="decimal"/>
      <w:lvlText w:val=""/>
      <w:lvlJc w:val="left"/>
    </w:lvl>
    <w:lvl w:ilvl="5" w:tplc="96F4782A">
      <w:numFmt w:val="decimal"/>
      <w:lvlText w:val=""/>
      <w:lvlJc w:val="left"/>
    </w:lvl>
    <w:lvl w:ilvl="6" w:tplc="78CCB3CE">
      <w:numFmt w:val="decimal"/>
      <w:lvlText w:val=""/>
      <w:lvlJc w:val="left"/>
    </w:lvl>
    <w:lvl w:ilvl="7" w:tplc="79CC1B4E">
      <w:numFmt w:val="decimal"/>
      <w:lvlText w:val=""/>
      <w:lvlJc w:val="left"/>
    </w:lvl>
    <w:lvl w:ilvl="8" w:tplc="D33A0F10">
      <w:numFmt w:val="decimal"/>
      <w:lvlText w:val=""/>
      <w:lvlJc w:val="left"/>
    </w:lvl>
  </w:abstractNum>
  <w:abstractNum w:abstractNumId="3" w15:restartNumberingAfterBreak="0">
    <w:nsid w:val="735E2110"/>
    <w:multiLevelType w:val="hybridMultilevel"/>
    <w:tmpl w:val="1EF85DDE"/>
    <w:lvl w:ilvl="0" w:tplc="99503EDC">
      <w:start w:val="1"/>
      <w:numFmt w:val="bullet"/>
      <w:lvlText w:val="•"/>
      <w:lvlJc w:val="left"/>
      <w:pPr>
        <w:ind w:left="560" w:hanging="280"/>
      </w:pPr>
    </w:lvl>
    <w:lvl w:ilvl="1" w:tplc="E1700252">
      <w:numFmt w:val="decimal"/>
      <w:lvlText w:val=""/>
      <w:lvlJc w:val="left"/>
    </w:lvl>
    <w:lvl w:ilvl="2" w:tplc="521691C8">
      <w:numFmt w:val="decimal"/>
      <w:lvlText w:val=""/>
      <w:lvlJc w:val="left"/>
    </w:lvl>
    <w:lvl w:ilvl="3" w:tplc="0CAEBCA2">
      <w:numFmt w:val="decimal"/>
      <w:lvlText w:val=""/>
      <w:lvlJc w:val="left"/>
    </w:lvl>
    <w:lvl w:ilvl="4" w:tplc="133A057C">
      <w:numFmt w:val="decimal"/>
      <w:lvlText w:val=""/>
      <w:lvlJc w:val="left"/>
    </w:lvl>
    <w:lvl w:ilvl="5" w:tplc="B58A217E">
      <w:numFmt w:val="decimal"/>
      <w:lvlText w:val=""/>
      <w:lvlJc w:val="left"/>
    </w:lvl>
    <w:lvl w:ilvl="6" w:tplc="67F0F874">
      <w:numFmt w:val="decimal"/>
      <w:lvlText w:val=""/>
      <w:lvlJc w:val="left"/>
    </w:lvl>
    <w:lvl w:ilvl="7" w:tplc="39BE89F8">
      <w:numFmt w:val="decimal"/>
      <w:lvlText w:val=""/>
      <w:lvlJc w:val="left"/>
    </w:lvl>
    <w:lvl w:ilvl="8" w:tplc="7B0861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42A"/>
    <w:rsid w:val="00167851"/>
    <w:rsid w:val="001B681F"/>
    <w:rsid w:val="004E17ED"/>
    <w:rsid w:val="00727574"/>
    <w:rsid w:val="00780159"/>
    <w:rsid w:val="008B71B3"/>
    <w:rsid w:val="009F728C"/>
    <w:rsid w:val="00A87C29"/>
    <w:rsid w:val="00AF1A0A"/>
    <w:rsid w:val="00C9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346DFD-6C3A-44ED-90F2-74155568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1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0A"/>
  </w:style>
  <w:style w:type="paragraph" w:styleId="Footer">
    <w:name w:val="footer"/>
    <w:basedOn w:val="Normal"/>
    <w:link w:val="FooterChar"/>
    <w:uiPriority w:val="99"/>
    <w:unhideWhenUsed/>
    <w:rsid w:val="00AF1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0A"/>
  </w:style>
  <w:style w:type="table" w:styleId="TableGrid">
    <w:name w:val="Table Grid"/>
    <w:basedOn w:val="TableNormal"/>
    <w:uiPriority w:val="39"/>
    <w:rsid w:val="00780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2026-05-15T04:19:00Z</dcterms:created>
  <dcterms:modified xsi:type="dcterms:W3CDTF">2026-05-15T05:41:00Z</dcterms:modified>
</cp:coreProperties>
</file>