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pPr>
        <w:pStyle w:val="Heading2"/>
      </w:pPr>
      <w:r>
        <w:t>For Consult Kenya: Visual-First Professional Advisory &amp; Authority Network</w:t>
      </w:r>
    </w:p>
    <w:p>
      <w:pPr>
        <w:pStyle w:val="Heading3"/>
      </w:pPr>
      <w:r>
        <w:t>Conforming to ISO/IEC/IEEE 29148:2018 International Standard</w:t>
      </w:r>
    </w:p>
    <w:p>
      <w:r>
        <w:t>**Document Version:** 2.0 (Comprehensive Baseline Covering All 22 Core Use Cases)</w:t>
      </w:r>
    </w:p>
    <w:p>
      <w:r>
        <w:t>**Date of Release:** October 2026</w:t>
      </w:r>
    </w:p>
    <w:p>
      <w:r>
        <w:t>**Status:** Approved for System Design &amp; Engineering Implementation</w:t>
      </w:r>
    </w:p>
    <w:p>
      <w:r>
        <w:t>**Organization:** Consult Kenya Digital Ecosystem Inc.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**INTRODUCTION**</w:t>
      </w:r>
    </w:p>
    <w:p>
      <w:pPr>
        <w:pStyle w:val="ListBullet"/>
      </w:pPr>
      <w:r>
        <w:t>1.1 Purpose</w:t>
      </w:r>
    </w:p>
    <w:p>
      <w:pPr>
        <w:pStyle w:val="ListBullet"/>
      </w:pPr>
      <w:r>
        <w:t>1.2 Scope of the System</w:t>
      </w:r>
    </w:p>
    <w:p>
      <w:pPr>
        <w:pStyle w:val="ListBullet"/>
      </w:pPr>
      <w:r>
        <w:t>1.3 Definitions, Acronyms, and Abbreviations</w:t>
      </w:r>
    </w:p>
    <w:p>
      <w:pPr>
        <w:pStyle w:val="ListBullet"/>
      </w:pPr>
      <w:r>
        <w:t>1.4 References</w:t>
      </w:r>
    </w:p>
    <w:p>
      <w:pPr>
        <w:pStyle w:val="ListBullet"/>
      </w:pPr>
      <w:r>
        <w:t>1.5 Document Overview</w:t>
      </w:r>
    </w:p>
    <w:p>
      <w:pPr>
        <w:pStyle w:val="ListNumber"/>
      </w:pPr>
      <w:r>
        <w:t>**OVERALL DESCRIPTION**</w:t>
      </w:r>
    </w:p>
    <w:p>
      <w:pPr>
        <w:pStyle w:val="ListBullet"/>
      </w:pPr>
      <w:r>
        <w:t>2.1 Product Perspective &amp; Context</w:t>
      </w:r>
    </w:p>
    <w:p>
      <w:pPr>
        <w:pStyle w:val="ListBullet"/>
      </w:pPr>
      <w:r>
        <w:t>2.2 Product Functions &amp; High-Level Architecture</w:t>
      </w:r>
    </w:p>
    <w:p>
      <w:pPr>
        <w:pStyle w:val="ListBullet"/>
      </w:pPr>
      <w:r>
        <w:t>2.3 User Classes, Characteristics, and Personas</w:t>
      </w:r>
    </w:p>
    <w:p>
      <w:pPr>
        <w:pStyle w:val="ListBullet"/>
      </w:pPr>
      <w:r>
        <w:t>2.4 Operating Environment &amp; Technical Dependencies</w:t>
      </w:r>
    </w:p>
    <w:p>
      <w:pPr>
        <w:pStyle w:val="ListBullet"/>
      </w:pPr>
      <w:r>
        <w:t>2.5 Design and Implementation Constraints</w:t>
      </w:r>
    </w:p>
    <w:p>
      <w:pPr>
        <w:pStyle w:val="ListBullet"/>
      </w:pPr>
      <w:r>
        <w:t>2.6 User Documentation &amp; Onboarding Strategy</w:t>
      </w:r>
    </w:p>
    <w:p>
      <w:pPr>
        <w:pStyle w:val="ListBullet"/>
      </w:pPr>
      <w:r>
        <w:t>2.7 Assumptions and Dependencies</w:t>
      </w:r>
    </w:p>
    <w:p>
      <w:pPr>
        <w:pStyle w:val="ListNumber"/>
      </w:pPr>
      <w:r>
        <w:t>**SPECIFIC REQUIREMENTS &amp; SYSTEM FEATURES (ALL 22 CORE USE CASES)**</w:t>
      </w:r>
    </w:p>
    <w:p>
      <w:pPr>
        <w:pStyle w:val="ListBullet"/>
      </w:pPr>
      <w:r>
        <w:t>3.1 Domain A: Content Consumption &amp; Discovery (UC-01 to UC-04)</w:t>
      </w:r>
    </w:p>
    <w:p>
      <w:pPr>
        <w:pStyle w:val="ListBullet"/>
      </w:pPr>
      <w:r>
        <w:t>3.2 Domain B: Content Authoring &amp; Verification Layer (UC-05 to UC-08)</w:t>
      </w:r>
    </w:p>
    <w:p>
      <w:pPr>
        <w:pStyle w:val="ListBullet"/>
      </w:pPr>
      <w:r>
        <w:t>3.3 Domain C: Native Scheduling &amp; Consultation (UC-09 to UC-12)</w:t>
      </w:r>
    </w:p>
    <w:p>
      <w:pPr>
        <w:pStyle w:val="ListBullet"/>
      </w:pPr>
      <w:r>
        <w:t>3.4 Domain D: Milestone Escrow &amp; B2B Contracts (UC-13 to UC-16)</w:t>
      </w:r>
    </w:p>
    <w:p>
      <w:pPr>
        <w:pStyle w:val="ListBullet"/>
      </w:pPr>
      <w:r>
        <w:t>3.5 Domain E: Algorithmic Intelligence &amp; Telemetry (UC-17 to UC-18)</w:t>
      </w:r>
    </w:p>
    <w:p>
      <w:pPr>
        <w:pStyle w:val="ListBullet"/>
      </w:pPr>
      <w:r>
        <w:t>3.6 Domain F: Governance, Administration &amp; Compliance (UC-19 to UC-22)</w:t>
      </w:r>
    </w:p>
    <w:p>
      <w:r>
        <w:t>4. **EXTERNAL INTERFACE REQUIREMENTS**</w:t>
      </w:r>
    </w:p>
    <w:p>
      <w:pPr>
        <w:pStyle w:val="ListBullet"/>
      </w:pPr>
      <w:r>
        <w:t>4.1 User Interfaces &amp; Dual-Mode Ergonomics</w:t>
      </w:r>
    </w:p>
    <w:p>
      <w:pPr>
        <w:pStyle w:val="ListBullet"/>
      </w:pPr>
      <w:r>
        <w:t>4.2 Hardware Interfaces &amp; Camera/Sensor Streaming</w:t>
      </w:r>
    </w:p>
    <w:p>
      <w:pPr>
        <w:pStyle w:val="ListBullet"/>
      </w:pPr>
      <w:r>
        <w:t>4.3 Software Interfaces &amp; Statutory Registries</w:t>
      </w:r>
    </w:p>
    <w:p>
      <w:pPr>
        <w:pStyle w:val="ListBullet"/>
      </w:pPr>
      <w:r>
        <w:t>4.4 Communications &amp; Fintech Protocol Interfaces (Daraja / Paystack / STK Push)</w:t>
      </w:r>
    </w:p>
    <w:p>
      <w:r>
        <w:t>5. **NON-FUNCTIONAL QUALITY REQUIREMENTS**</w:t>
      </w:r>
    </w:p>
    <w:p>
      <w:pPr>
        <w:pStyle w:val="ListBullet"/>
      </w:pPr>
      <w:r>
        <w:t>5.1 Performance Requirements</w:t>
      </w:r>
    </w:p>
    <w:p>
      <w:pPr>
        <w:pStyle w:val="ListBullet"/>
      </w:pPr>
      <w:r>
        <w:t>5.2 Security, Confidentiality &amp; RLS Requirements</w:t>
      </w:r>
    </w:p>
    <w:p>
      <w:pPr>
        <w:pStyle w:val="ListBullet"/>
      </w:pPr>
      <w:r>
        <w:t>5.3 Reliability, Availability &amp; Escrow Consistency</w:t>
      </w:r>
    </w:p>
    <w:p>
      <w:pPr>
        <w:pStyle w:val="ListBullet"/>
      </w:pPr>
      <w:r>
        <w:t>5.4 Usability &amp; Accessibility (WCAG 2.1 AA)</w:t>
      </w:r>
    </w:p>
    <w:p>
      <w:pPr>
        <w:pStyle w:val="ListBullet"/>
      </w:pPr>
      <w:r>
        <w:t>5.5 Maintainability, Extensibility &amp; Modifiability</w:t>
      </w:r>
    </w:p>
    <w:p>
      <w:r>
        <w:t>6. **VERIFICATION MATRIX &amp; ACCEPTANCE CRITERIA**</w:t>
      </w:r>
    </w:p>
    <w:p>
      <w:r>
        <w:t>---</w:t>
      </w:r>
    </w:p>
    <w:p>
      <w:pPr>
        <w:pStyle w:val="Heading1"/>
      </w:pPr>
      <w:r>
        <w:t>1. INTRODUCTION</w:t>
      </w:r>
    </w:p>
    <w:p>
      <w:pPr>
        <w:pStyle w:val="Heading3"/>
      </w:pPr>
      <w:r>
        <w:t>1.1 Purpose</w:t>
      </w:r>
    </w:p>
    <w:p>
      <w:r>
        <w:t>This Software Requirements Specification (SRS) establishes the definitive, complete, and verifiable functional and non-functional requirements for the **Consult Kenya** platform. It serves as the authoritative technical baseline for software architects, backend developers, frontend engineers, quality assurance auditors, escrow mediators, and compliance officers developing the system.</w:t>
      </w:r>
    </w:p>
    <w:p>
      <w:pPr>
        <w:pStyle w:val="Heading3"/>
      </w:pPr>
      <w:r>
        <w:t>1.2 Scope of the System</w:t>
      </w:r>
    </w:p>
    <w:p>
      <w:r>
        <w:t>**Consult Kenya** is a hybrid professional advisory ecosystem and authority-driven knowledge network designed to bridge the structural divide between traditional, visually sterile professional networks (e.g., LinkedIn) and high-engagement, visual-first consumer platforms (e.g., Instagram).</w:t>
      </w:r>
    </w:p>
    <w:p>
      <w:r>
        <w:t>The platform transforms dry professional resumes and text articles into **swipeable visual case studies, architecture schemas, and micro-video walkthroughs**, backed by **verifiable third-party proof of execution** (statutory licenses, GitHub commits, enterprise client sign-offs). The system closes the loop from passive consumption to commercial transaction through an **embedded zero-redirect booking engine**, **M-Pesa STK push and multi-currency card payment rails**, and an **enterprise milestone escrow vault** designed for high-value B2B advisory contracts.</w:t>
      </w:r>
    </w:p>
    <w:p>
      <w:pPr>
        <w:pStyle w:val="Heading3"/>
      </w:pPr>
      <w:r>
        <w:t>1.3 Definitions, Acronyms, and Abbreviations</w:t>
      </w:r>
    </w:p>
    <w:p>
      <w:pPr>
        <w:pStyle w:val="ListBullet"/>
      </w:pPr>
      <w:r>
        <w:t>**ACID**: Atomicity, Consistency, Isolation, Durability (database transaction properties).</w:t>
      </w:r>
    </w:p>
    <w:p>
      <w:pPr>
        <w:pStyle w:val="ListBullet"/>
      </w:pPr>
      <w:r>
        <w:t>**ANN**: Approximate Nearest Neighbor (high-dimensional vector search).</w:t>
      </w:r>
    </w:p>
    <w:p>
      <w:pPr>
        <w:pStyle w:val="ListBullet"/>
      </w:pPr>
      <w:r>
        <w:t>**CAS**: Creator Authority Score (the platform's proprietary multi-factor authority ranking metric, bounded from 0.00 to 10.00).</w:t>
      </w:r>
    </w:p>
    <w:p>
      <w:pPr>
        <w:pStyle w:val="ListBullet"/>
      </w:pPr>
      <w:r>
        <w:t>**CBK**: Central Bank of Kenya.</w:t>
      </w:r>
    </w:p>
    <w:p>
      <w:pPr>
        <w:pStyle w:val="ListBullet"/>
      </w:pPr>
      <w:r>
        <w:t>**CIArb**: Chartered Institute of Arbitrators (Kenya Branch).</w:t>
      </w:r>
    </w:p>
    <w:p>
      <w:pPr>
        <w:pStyle w:val="ListBullet"/>
      </w:pPr>
      <w:r>
        <w:t>**Daraja**: Safaricom's M-Pesa API integration gateway.</w:t>
      </w:r>
    </w:p>
    <w:p>
      <w:pPr>
        <w:pStyle w:val="ListBullet"/>
      </w:pPr>
      <w:r>
        <w:t>**DPA 2019**: Kenya Data Protection Act, No. 24 of 2019.</w:t>
      </w:r>
    </w:p>
    <w:p>
      <w:pPr>
        <w:pStyle w:val="ListBullet"/>
      </w:pPr>
      <w:r>
        <w:t>**EBK**: Engineers Board of Kenya.</w:t>
      </w:r>
    </w:p>
    <w:p>
      <w:pPr>
        <w:pStyle w:val="ListBullet"/>
      </w:pPr>
      <w:r>
        <w:t>**eTIMS**: Electronic Tax Invoice Management System (Kenya Revenue Authority statutory mandate).</w:t>
      </w:r>
    </w:p>
    <w:p>
      <w:pPr>
        <w:pStyle w:val="ListBullet"/>
      </w:pPr>
      <w:r>
        <w:t>**ICPAK**: Institute of Certified Public Accountants of Kenya.</w:t>
      </w:r>
    </w:p>
    <w:p>
      <w:pPr>
        <w:pStyle w:val="ListBullet"/>
      </w:pPr>
      <w:r>
        <w:t>**IPRS**: Integrated Population Registration System (Kenyan National Identity Gateway).</w:t>
      </w:r>
    </w:p>
    <w:p>
      <w:pPr>
        <w:pStyle w:val="ListBullet"/>
      </w:pPr>
      <w:r>
        <w:t>**LSK**: Law Society of Kenya.</w:t>
      </w:r>
    </w:p>
    <w:p>
      <w:pPr>
        <w:pStyle w:val="ListBullet"/>
      </w:pPr>
      <w:r>
        <w:t>**PWA**: Progressive Web App.</w:t>
      </w:r>
    </w:p>
    <w:p>
      <w:pPr>
        <w:pStyle w:val="ListBullet"/>
      </w:pPr>
      <w:r>
        <w:t>**RLS**: Row-Level Security (PostgreSQL / Supabase database multi-tenant isolation mechanism).</w:t>
      </w:r>
    </w:p>
    <w:p>
      <w:pPr>
        <w:pStyle w:val="ListBullet"/>
      </w:pPr>
      <w:r>
        <w:t>**SOW**: Statement of Work.</w:t>
      </w:r>
    </w:p>
    <w:p>
      <w:pPr>
        <w:pStyle w:val="ListBullet"/>
      </w:pPr>
      <w:r>
        <w:t>**STK**: SIM Toolkit (automated M-Pesa push prompt dispatched directly to client handsets).</w:t>
      </w:r>
    </w:p>
    <w:p>
      <w:pPr>
        <w:pStyle w:val="ListBullet"/>
      </w:pPr>
      <w:r>
        <w:t>**WebRTC**: Web Real-Time Communication (peer-to-peer browser video/audio streaming).</w:t>
      </w:r>
    </w:p>
    <w:p>
      <w:pPr>
        <w:pStyle w:val="ListBullet"/>
      </w:pPr>
      <w:r>
        <w:t>**WHT**: Withholding Tax (statutory 5% professional service tax in Kenya).</w:t>
      </w:r>
    </w:p>
    <w:p>
      <w:pPr>
        <w:pStyle w:val="Heading3"/>
      </w:pPr>
      <w:r>
        <w:t>1.4 References</w:t>
      </w:r>
    </w:p>
    <w:p>
      <w:pPr>
        <w:pStyle w:val="ListNumber"/>
      </w:pPr>
      <w:r>
        <w:t>**ISO/IEC/IEEE 29148:2018**: *Systems and software engineering — Life cycle processes — Requirements engineering*.</w:t>
      </w:r>
    </w:p>
    <w:p>
      <w:pPr>
        <w:pStyle w:val="ListNumber"/>
      </w:pPr>
      <w:r>
        <w:t>**ISO/IEC 25010:2011**: *Systems and software engineering — Systems and software Quality Requirements and Evaluation (SQuaRE) — System and software quality models*.</w:t>
      </w:r>
    </w:p>
    <w:p>
      <w:pPr>
        <w:pStyle w:val="ListNumber"/>
      </w:pPr>
      <w:r>
        <w:t>**Jackson, M., &amp; Zave, P. (1997)**: *Domain Descriptions and Requirements Engineering*, Requirements Engineering, 2(1), 14-21.</w:t>
      </w:r>
    </w:p>
    <w:p>
      <w:r>
        <w:t>4. **Kenya Data Protection Act, 2019**: Republic of Kenya, Acts No. 24 of 2019.</w:t>
      </w:r>
    </w:p>
    <w:p>
      <w:r>
        <w:t>5. **Tax Procedures (Electronic Tax Invoice) Regulations, 2024**: Kenya Revenue Authority (KRA).</w:t>
      </w:r>
    </w:p>
    <w:p>
      <w:pPr>
        <w:pStyle w:val="Heading3"/>
      </w:pPr>
      <w:r>
        <w:t>1.5 Document Overview</w:t>
      </w:r>
    </w:p>
    <w:p>
      <w:r>
        <w:t>Section 2 provides the high-level system perspective, personas, operational constraints, and lifecycle evolution roadmap. Section 3 details all **22 Core System Features** organized across 6 orthogonal domains. Section 4 specifies external interfaces. Section 5 formalizes the 16 non-functional quality requirements with measurable fit criteria. Section 6 provides the verification and traceability matrix.</w:t>
      </w:r>
    </w:p>
    <w:p>
      <w:r>
        <w:t>---</w:t>
      </w:r>
    </w:p>
    <w:p>
      <w:pPr>
        <w:pStyle w:val="Heading1"/>
      </w:pPr>
      <w:r>
        <w:t>2. OVERALL DESCRIPTION</w:t>
      </w:r>
    </w:p>
    <w:p>
      <w:pPr>
        <w:pStyle w:val="Heading3"/>
      </w:pPr>
      <w:r>
        <w:t>2.1 Product Perspective &amp; Context</w:t>
      </w:r>
    </w:p>
    <w:p>
      <w:r>
        <w:t>Consult Kenya operates as a multi-sided digital marketplace and professional advisory network. The platform solves the classic marketplace "cold-start" problem through a **3-Phase Evolution Roadmap** (`CARD-002`):</w:t>
      </w:r>
    </w:p>
    <w:p>
      <w:pPr>
        <w:pStyle w:val="ListBullet"/>
      </w:pPr>
      <w:r>
        <w:t>**Phase 1 (The Anchor Agency):** The system launches as a proprietary flagship consulting and systems architecture agency. The founding agency generates 100% of the initial visual case studies, establishing the content aesthetic and proving monetization before opening onboarding.</w:t>
      </w:r>
    </w:p>
    <w:p>
      <w:pPr>
        <w:pStyle w:val="ListBullet"/>
      </w:pPr>
      <w:r>
        <w:t>**Phase 2 (The Curated Cohort):** An invite-only beta unlocking creator tools for 25 hand-picked specialist peers (software architects, corporate advocates, tax consultants) using cryptographic invitation codes.</w:t>
      </w:r>
    </w:p>
    <w:p>
      <w:pPr>
        <w:pStyle w:val="ListBullet"/>
      </w:pPr>
      <w:r>
        <w:t>**Phase 3 (The Open Ecosystem):** Full self-service onboarding across Kenya and East Africa with automated KYC credential vetting and multi-tenant SaaS profile tiers.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flowchart LR</w:t>
        <w:br/>
        <w:t xml:space="preserve">    P1["Phase 1: Anchor Agency&lt;br&gt;(100% Proprietary Content)"] --&gt; P2["Phase 2: Curated Cohort&lt;br&gt;(Invite-Only Beta of 25 Specialists)"]</w:t>
        <w:br/>
        <w:t xml:space="preserve">    P2 --&gt; P3["Phase 3: Open Ecosystem&lt;br&gt;(Vetted Multi-Tenant Marketplace)"]</w:t>
      </w:r>
    </w:p>
    <w:p>
      <w:pPr>
        <w:pStyle w:val="Heading3"/>
      </w:pPr>
      <w:r>
        <w:t>2.2 Product Functions &amp; High-Level Architecture</w:t>
      </w:r>
    </w:p>
    <w:p>
      <w:r>
        <w:t>The system integrates six major functional subsystems:</w:t>
      </w:r>
    </w:p>
    <w:p>
      <w:pPr>
        <w:pStyle w:val="ListNumber"/>
      </w:pPr>
      <w:r>
        <w:t>**Dual-Mode Consumption Subsystem**: Provides two contextually separated modes of interaction:</w:t>
      </w:r>
    </w:p>
    <w:p>
      <w:pPr>
        <w:pStyle w:val="ListBullet"/>
      </w:pPr>
      <w:r>
        <w:t>*Vertical Stream (Home)*: High-engagement, full-screen vertical discovery stream for rapid passive learning.</w:t>
      </w:r>
    </w:p>
    <w:p>
      <w:pPr>
        <w:pStyle w:val="ListBullet"/>
      </w:pPr>
      <w:r>
        <w:t>*Bento Grid (Profile &amp; Explore)*: High-density modular grid layout for 5-second competence due diligence.</w:t>
      </w:r>
    </w:p>
    <w:p>
      <w:pPr>
        <w:pStyle w:val="ListNumber"/>
      </w:pPr>
      <w:r>
        <w:t>**Creation Studio &amp; Narrative Template Engine**: 4-step wizard (*Format $\to$ Template $\to$ Evidence $\to$ Conversion Anchor*) with 300-char slide limits and split-screen preview.</w:t>
      </w:r>
    </w:p>
    <w:p>
      <w:pPr>
        <w:pStyle w:val="ListNumber"/>
      </w:pPr>
      <w:r>
        <w:t>**Trust &amp; Credential Verification Subsystem**: Automated API hooks into Kenyan National ID (IPRS), KRA PIN, and professional statutory boards (LSK, ICPAK, EBK).</w:t>
      </w:r>
    </w:p>
    <w:p>
      <w:r>
        <w:t>4. **Native Booking &amp; Scheduling Subsystem**: Zero-redirect slide-up calendar sheet with distributed 10-minute mutex slot locking and pre-intake questionnaires.</w:t>
      </w:r>
    </w:p>
    <w:p>
      <w:r>
        <w:t>5. **Fintech Payment Subsystem**: Dual-rail checkout supporting instant Safaricom M-Pesa STK Push, manual Paybill fallbacks, and multi-currency international card rails.</w:t>
      </w:r>
    </w:p>
    <w:p>
      <w:r>
        <w:t>6. **Milestone Escrow &amp; Mediation Subsystem**: Dedicated trust ledger securing enterprise project deposits, enforcing 72-hour review periods, SHA-256 asset delivery proof, 7-day auto-release fallbacks, and binding dispute mediation.</w:t>
      </w:r>
    </w:p>
    <w:p>
      <w:pPr>
        <w:pStyle w:val="Heading3"/>
      </w:pPr>
      <w:r>
        <w:t>2.3 User Classes, Characteristics, and Personas</w:t>
      </w:r>
    </w:p>
    <w:p>
      <w:r>
        <w:t>The system serves four primary stakeholder classes:</w:t>
      </w:r>
    </w:p>
    <w:p>
      <w:pPr>
        <w:pStyle w:val="ListNumber"/>
      </w:pPr>
      <w:r>
        <w:t>**Client / Enterprise Buyer (Persona: David, Enterprise CTO &amp; Corporate Procurement)**:</w:t>
      </w:r>
    </w:p>
    <w:p>
      <w:pPr>
        <w:pStyle w:val="ListBullet"/>
      </w:pPr>
      <w:r>
        <w:t>*Profile:* Technical decision-makers and business founders seeking specialized external expertise.</w:t>
      </w:r>
    </w:p>
    <w:p>
      <w:pPr>
        <w:pStyle w:val="ListBullet"/>
      </w:pPr>
      <w:r>
        <w:t>*Needs:* Fast due diligence, visual proof of past work, zero-friction booking, and financial protection via milestone escrow.</w:t>
      </w:r>
    </w:p>
    <w:p>
      <w:pPr>
        <w:pStyle w:val="ListNumber"/>
      </w:pPr>
      <w:r>
        <w:t>**Consultant / Specialist Creator (Persona: Leah, Lead Systems Architect &amp; High Court Advocate)**:</w:t>
      </w:r>
    </w:p>
    <w:p>
      <w:pPr>
        <w:pStyle w:val="ListBullet"/>
      </w:pPr>
      <w:r>
        <w:t>*Profile:* Top-tier vetted Kenyan professionals offering advisory, legal, architectural, or financial engineering services.</w:t>
      </w:r>
    </w:p>
    <w:p>
      <w:pPr>
        <w:pStyle w:val="ListBullet"/>
      </w:pPr>
      <w:r>
        <w:t>*Needs:* Streamlined case study authoring, protection against client non-payment, instant mobile payouts, and algorithmic distribution based on merit rather than superficial likes.</w:t>
      </w:r>
    </w:p>
    <w:p>
      <w:pPr>
        <w:pStyle w:val="ListNumber"/>
      </w:pPr>
      <w:r>
        <w:t>**Platform Administrator &amp; Moderator**:</w:t>
      </w:r>
    </w:p>
    <w:p>
      <w:pPr>
        <w:pStyle w:val="ListBullet"/>
      </w:pPr>
      <w:r>
        <w:t>*Profile:* Internal operations team managing platform governance.</w:t>
      </w:r>
    </w:p>
    <w:p>
      <w:pPr>
        <w:pStyle w:val="ListBullet"/>
      </w:pPr>
      <w:r>
        <w:t>*Needs:* Phase rollout gating, automated spam/fluff filtering, and emergency 4-hour SLA enterprise NDA breach takedowns.</w:t>
      </w:r>
    </w:p>
    <w:p>
      <w:r>
        <w:t>4. **Escrow Mediator &amp; Compliance Officer**:</w:t>
      </w:r>
    </w:p>
    <w:p>
      <w:pPr>
        <w:pStyle w:val="ListBullet"/>
      </w:pPr>
      <w:r>
        <w:t>*Profile:* Certified dispute arbitrators and finance compliance officers.</w:t>
      </w:r>
    </w:p>
    <w:p>
      <w:pPr>
        <w:pStyle w:val="ListBullet"/>
      </w:pPr>
      <w:r>
        <w:t>*Needs:* Chronological contract audit dashboards, binding dispute split execution, and KRA eTIMS statutory tax reporting.</w:t>
      </w:r>
    </w:p>
    <w:p>
      <w:pPr>
        <w:pStyle w:val="Heading3"/>
      </w:pPr>
      <w:r>
        <w:t>2.4 Operating Environment &amp; Technical Dependencies</w:t>
      </w:r>
    </w:p>
    <w:p>
      <w:pPr>
        <w:pStyle w:val="ListBullet"/>
      </w:pPr>
      <w:r>
        <w:t>**Client Frontend**: Progressive Web App (PWA) built with modern web technologies, responsive from 360px mobile viewports to 4K desktop displays.</w:t>
      </w:r>
    </w:p>
    <w:p>
      <w:pPr>
        <w:pStyle w:val="ListBullet"/>
      </w:pPr>
      <w:r>
        <w:t>**Database &amp; Auth Layer**: PostgreSQL with strict Row-Level Security (RLS) policies and multi-tenant schema partitioning.</w:t>
      </w:r>
    </w:p>
    <w:p>
      <w:pPr>
        <w:pStyle w:val="ListBullet"/>
      </w:pPr>
      <w:r>
        <w:t>**Vector Indexing Engine**: In-memory dense semantic vector index (128-dimensional embedding space) supporting sub-50ms cosine similarity queries.</w:t>
      </w:r>
    </w:p>
    <w:p>
      <w:pPr>
        <w:pStyle w:val="ListBullet"/>
      </w:pPr>
      <w:r>
        <w:t>**Video / Media Streaming**: WebRTC peer-to-peer audio/video with DTLS-SRTP encryption and distributed TURN relay fallbacks.</w:t>
      </w:r>
    </w:p>
    <w:p>
      <w:pPr>
        <w:pStyle w:val="ListBullet"/>
      </w:pPr>
      <w:r>
        <w:t>**External API Gateways**:</w:t>
      </w:r>
    </w:p>
    <w:p>
      <w:pPr>
        <w:pStyle w:val="ListBullet"/>
      </w:pPr>
      <w:r>
        <w:t>Safaricom Daraja API (C2B, B2C, STK Push).</w:t>
      </w:r>
    </w:p>
    <w:p>
      <w:pPr>
        <w:pStyle w:val="ListBullet"/>
      </w:pPr>
      <w:r>
        <w:t>Paystack &amp; Flutterwave (Multi-currency cards).</w:t>
      </w:r>
    </w:p>
    <w:p>
      <w:pPr>
        <w:pStyle w:val="ListBullet"/>
      </w:pPr>
      <w:r>
        <w:t>Google Calendar &amp; Microsoft Outlook Graph APIs.</w:t>
      </w:r>
    </w:p>
    <w:p>
      <w:pPr>
        <w:pStyle w:val="ListBullet"/>
      </w:pPr>
      <w:r>
        <w:t>KRA eTIMS Fiscal Electronic Invoicing Gateway.</w:t>
      </w:r>
    </w:p>
    <w:p>
      <w:pPr>
        <w:pStyle w:val="Heading3"/>
      </w:pPr>
      <w:r>
        <w:t>2.5 Design and Implementation Constraints</w:t>
      </w:r>
    </w:p>
    <w:p>
      <w:pPr>
        <w:pStyle w:val="ListBullet"/>
      </w:pPr>
      <w:r>
        <w:t>**DC-01 (Statutory Compliance)**: Must strictly comply with Kenya Data Protection Act (DPA 2019) regarding local data residency for PII.</w:t>
      </w:r>
    </w:p>
    <w:p>
      <w:pPr>
        <w:pStyle w:val="ListBullet"/>
      </w:pPr>
      <w:r>
        <w:t>**DC-02 (Fiscal Invoice Mandate)**: Every transaction fee deducted by the platform must immediately generate a KRA eTIMS QR-coded tax receipt.</w:t>
      </w:r>
    </w:p>
    <w:p>
      <w:pPr>
        <w:pStyle w:val="ListBullet"/>
      </w:pPr>
      <w:r>
        <w:t>**DC-03 (Anti-Clutter Visual Rule)**: Case study slides in Creation Studio are hard-constrained to $\le 300$ characters to maintain scannability.</w:t>
      </w:r>
    </w:p>
    <w:p>
      <w:pPr>
        <w:pStyle w:val="ListBullet"/>
      </w:pPr>
      <w:r>
        <w:t>**DC-04 (Zero Off-Platform Redirection)**: Consultation booking must occur natively inside an in-app slide-up sheet without redirecting to third-party scheduling tools.</w:t>
      </w:r>
    </w:p>
    <w:p>
      <w:pPr>
        <w:pStyle w:val="Heading3"/>
      </w:pPr>
      <w:r>
        <w:t>2.6 Assumptions and Dependencies</w:t>
      </w:r>
    </w:p>
    <w:p>
      <w:pPr>
        <w:pStyle w:val="ListBullet"/>
      </w:pPr>
      <w:r>
        <w:t>**AS-01**: Mobile telecom operators in Kenya maintain operational STK push gateway connectivity with average response times under 5 seconds.</w:t>
      </w:r>
    </w:p>
    <w:p>
      <w:pPr>
        <w:pStyle w:val="ListBullet"/>
      </w:pPr>
      <w:r>
        <w:t>**AS-02**: Statutory professional boards (LSK, ICPAK, EBK) maintain accessible digital registries or verify active practitioners via designated API endpoints.</w:t>
      </w:r>
    </w:p>
    <w:p>
      <w:pPr>
        <w:pStyle w:val="ListBullet"/>
      </w:pPr>
      <w:r>
        <w:t>**AS-03**: Clients reviewing milestone deliverables possess modern web browsers capable of rendering PDF documents and vector architecture diagrams.</w:t>
      </w:r>
    </w:p>
    <w:p>
      <w:r>
        <w:t>---</w:t>
      </w:r>
    </w:p>
    <w:p>
      <w:pPr>
        <w:pStyle w:val="Heading1"/>
      </w:pPr>
      <w:r>
        <w:t>3. SPECIFIC REQUIREMENTS &amp; SYSTEM FEATURES (ALL 22 CORE USE CASES)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mindmap</w:t>
        <w:br/>
        <w:t xml:space="preserve">  root((Consult Kenya Core Features))</w:t>
        <w:br/>
        <w:t xml:space="preserve">    Domain A: Content &amp; Discovery</w:t>
        <w:br/>
        <w:t xml:space="preserve">      UC-01: Dual-Mode Feeds</w:t>
        <w:br/>
        <w:t xml:space="preserve">      UC-02: Bento Grid Profile</w:t>
        <w:br/>
        <w:t xml:space="preserve">      UC-03: Topic Hubs Search</w:t>
        <w:br/>
        <w:t xml:space="preserve">      UC-04: Bookmarks</w:t>
        <w:br/>
        <w:t xml:space="preserve">    Domain B: Authoring &amp; Trust</w:t>
        <w:br/>
        <w:t xml:space="preserve">      UC-05: Creation Studio</w:t>
        <w:br/>
        <w:t xml:space="preserve">      UC-06: Evidence Tagging</w:t>
        <w:br/>
        <w:t xml:space="preserve">      UC-07: Conversion Anchors</w:t>
        <w:br/>
        <w:t xml:space="preserve">      UC-08: Credential Verification</w:t>
        <w:br/>
        <w:t xml:space="preserve">    Domain C: Scheduling &amp; Advisory</w:t>
        <w:br/>
        <w:t xml:space="preserve">      UC-09: Native Booking Sheet</w:t>
        <w:br/>
        <w:t xml:space="preserve">      UC-10: M-Pesa STK Push</w:t>
        <w:br/>
        <w:t xml:space="preserve">      UC-11: Card Payments</w:t>
        <w:br/>
        <w:t xml:space="preserve">      UC-12: WebRTC Live Call</w:t>
        <w:br/>
        <w:t xml:space="preserve">    Domain D: Milestone Escrow</w:t>
        <w:br/>
        <w:t xml:space="preserve">      UC-13: Fund Escrow Contract</w:t>
        <w:br/>
        <w:t xml:space="preserve">      UC-14: Deliverable Proof SHA-256</w:t>
        <w:br/>
        <w:t xml:space="preserve">      UC-15: Approve &amp; Payout</w:t>
        <w:br/>
        <w:t xml:space="preserve">      UC-16: Escrow Dispute</w:t>
        <w:br/>
        <w:t xml:space="preserve">    Domain E: Algorithmic Brain</w:t>
        <w:br/>
        <w:t xml:space="preserve">      UC-17: Calculate CAS Score</w:t>
        <w:br/>
        <w:t xml:space="preserve">      UC-18: Two-Pass Feed AI</w:t>
        <w:br/>
        <w:t xml:space="preserve">    Domain F: Governance &amp; Tax</w:t>
        <w:br/>
        <w:t xml:space="preserve">      UC-19: Phased Rollout</w:t>
        <w:br/>
        <w:t xml:space="preserve">      UC-20: Content Moderation</w:t>
        <w:br/>
        <w:t xml:space="preserve">      UC-21: Adjudicate Dispute</w:t>
        <w:br/>
        <w:t xml:space="preserve">      UC-22: KRA eTIMS Tax Audit</w:t>
      </w:r>
    </w:p>
    <w:p>
      <w:r>
        <w:t>---</w:t>
      </w:r>
    </w:p>
    <w:p>
      <w:pPr>
        <w:pStyle w:val="Heading2"/>
      </w:pPr>
      <w:r>
        <w:t>3.1 Domain A: Content Consumption &amp; Discovery</w:t>
      </w:r>
    </w:p>
    <w:p>
      <w:pPr>
        <w:pStyle w:val="Heading3"/>
      </w:pPr>
      <w:r>
        <w:t>UC-01: Discover Content via Dual-Mode Feeds</w:t>
      </w:r>
    </w:p>
    <w:p>
      <w:pPr>
        <w:pStyle w:val="ListBullet"/>
      </w:pPr>
      <w:r>
        <w:t>**Description:** The system provides an immersive vertical stream on the Home tab delivering bite-sized visual case studies and micro-videos.</w:t>
      </w:r>
    </w:p>
    <w:p>
      <w:pPr>
        <w:pStyle w:val="ListBullet"/>
      </w:pPr>
      <w:r>
        <w:t>**Inputs:** Vertical swipe gestures, horizontal slide drag gestures, network downlink telemetry.</w:t>
      </w:r>
    </w:p>
    <w:p>
      <w:pPr>
        <w:pStyle w:val="ListBullet"/>
      </w:pPr>
      <w:r>
        <w:t>**Outputs:** Rendered 1080p WebP slides, muted auto-playing video streams, slide progress scrubbers.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**FR-01.1:** The system shall render vertical feed cards with a transition latency $\le 200\text{ms}$ ($P_{95}$).</w:t>
      </w:r>
    </w:p>
    <w:p>
      <w:pPr>
        <w:pStyle w:val="ListBullet"/>
      </w:pPr>
      <w:r>
        <w:t>**FR-01.2:** When a user drags horizontally on a multi-slide carousel by $&gt;15\text{px}$, the system shall lock vertical feed scrolling until the gesture terminates.</w:t>
      </w:r>
    </w:p>
    <w:p>
      <w:pPr>
        <w:pStyle w:val="ListBullet"/>
      </w:pPr>
      <w:r>
        <w:t>**FR-01.3:** The system shall automatically downgrade video playback to 70% quality WebP image slides when detected network bandwidth falls below $1\text{ Mbps}$.</w:t>
      </w:r>
    </w:p>
    <w:p>
      <w:pPr>
        <w:pStyle w:val="Heading3"/>
      </w:pPr>
      <w:r>
        <w:t>UC-02: Inspect Consultant Portfolio (Bento Grid)</w:t>
      </w:r>
    </w:p>
    <w:p>
      <w:pPr>
        <w:pStyle w:val="ListBullet"/>
      </w:pPr>
      <w:r>
        <w:t>**Description:** When a user opens a consultant's profile, the system presents a high-density Bento Grid showcasing their verified authority baseline in under 5 seconds.</w:t>
      </w:r>
    </w:p>
    <w:p>
      <w:pPr>
        <w:pStyle w:val="ListBullet"/>
      </w:pPr>
      <w:r>
        <w:t>**Inputs:** Avatar tap, profile URL query, contextual mode switch toggle.</w:t>
      </w:r>
    </w:p>
    <w:p>
      <w:pPr>
        <w:pStyle w:val="ListBullet"/>
      </w:pPr>
      <w:r>
        <w:t>**Outputs:** Multi-tile Bento Grid layout (Flagship deliverables, statutory verification seal, star ratings, hourly rate, sticky booking button).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**FR-02.1:** The system shall render all primary authority indicators above the fold without requiring user scrolling.</w:t>
      </w:r>
    </w:p>
    <w:p>
      <w:pPr>
        <w:pStyle w:val="ListBullet"/>
      </w:pPr>
      <w:r>
        <w:t>**FR-02.2:** The system shall support a sub-toggle switching between "Bento Grid" and "Chronological Feed" without triggering a page reload.</w:t>
      </w:r>
    </w:p>
    <w:p>
      <w:pPr>
        <w:pStyle w:val="ListBullet"/>
      </w:pPr>
      <w:r>
        <w:t>**FR-02.3:** Newly registered consultants with zero posts shall display guided cold-start credential badges and onboarding banners.</w:t>
      </w:r>
    </w:p>
    <w:p>
      <w:pPr>
        <w:pStyle w:val="Heading3"/>
      </w:pPr>
      <w:r>
        <w:t>UC-03: Search &amp; Filter Topic Hubs</w:t>
      </w:r>
    </w:p>
    <w:p>
      <w:pPr>
        <w:pStyle w:val="ListBullet"/>
      </w:pPr>
      <w:r>
        <w:t>**Description:** The system provides semantic natural language search and multi-facet filtering across industry topic hubs.</w:t>
      </w:r>
    </w:p>
    <w:p>
      <w:pPr>
        <w:pStyle w:val="ListBullet"/>
      </w:pPr>
      <w:r>
        <w:t>**Inputs:** Search query string, filter chips (`#SoftwareArchitecture`, `#CorporateLaw`, `#TaxStrategy`, minimum rating, verified tier).</w:t>
      </w:r>
    </w:p>
    <w:p>
      <w:pPr>
        <w:pStyle w:val="ListBullet"/>
      </w:pPr>
      <w:r>
        <w:t>**Outputs:** Ranked candidate cards, categorized topic hubs, nearest parent category suggestions.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**FR-03.1:** The system shall convert query strings into 128-dimensional dense vectors and execute cosine similarity matching within $\le 50\text{ms}$.</w:t>
      </w:r>
    </w:p>
    <w:p>
      <w:pPr>
        <w:pStyle w:val="ListBullet"/>
      </w:pPr>
      <w:r>
        <w:t>**FR-03.2:** The system shall support multi-facet filtering by discipline, minimum star rating, and verification tier.</w:t>
      </w:r>
    </w:p>
    <w:p>
      <w:pPr>
        <w:pStyle w:val="ListBullet"/>
      </w:pPr>
      <w:r>
        <w:t>**FR-03.3:** When zero exact matches occur, the system shall suggest nearest semantic topics and return top-rated consultants in the parent discipline.</w:t>
      </w:r>
    </w:p>
    <w:p>
      <w:pPr>
        <w:pStyle w:val="Heading3"/>
      </w:pPr>
      <w:r>
        <w:t>UC-04: Bookmark &amp; Organize Case Studies</w:t>
      </w:r>
    </w:p>
    <w:p>
      <w:pPr>
        <w:pStyle w:val="ListBullet"/>
      </w:pPr>
      <w:r>
        <w:t>**Description:** Users can save case studies into custom research collections for reference, driving positive algorithmic signals.</w:t>
      </w:r>
    </w:p>
    <w:p>
      <w:pPr>
        <w:pStyle w:val="ListBullet"/>
      </w:pPr>
      <w:r>
        <w:t>**Inputs:** Bookmark icon tap, collection assignment, folder creation name.</w:t>
      </w:r>
    </w:p>
    <w:p>
      <w:pPr>
        <w:pStyle w:val="ListBullet"/>
      </w:pPr>
      <w:r>
        <w:t>**Outputs:** Active gold bookmark indicator, saved collection library, PWA offline cache sync, $5\times$ CAS telemetry event.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**FR-04.1:** The system shall update bookmark state in $\le 50\text{ms}$ and dispatch a $5\times$ weighted telemetry boost to the author's CAS calculation pipeline.</w:t>
      </w:r>
    </w:p>
    <w:p>
      <w:pPr>
        <w:pStyle w:val="ListBullet"/>
      </w:pPr>
      <w:r>
        <w:t>**FR-04.2:** The system shall allow users to organize saved cards into named custom folders.</w:t>
      </w:r>
    </w:p>
    <w:p>
      <w:pPr>
        <w:pStyle w:val="ListBullet"/>
      </w:pPr>
      <w:r>
        <w:t>**FR-04.3:** The system's PWA service worker shall cache bookmarked slide text and images into IndexedDB for offline access.</w:t>
      </w:r>
    </w:p>
    <w:p>
      <w:r>
        <w:t>---</w:t>
      </w:r>
    </w:p>
    <w:p>
      <w:pPr>
        <w:pStyle w:val="Heading2"/>
      </w:pPr>
      <w:r>
        <w:t>3.2 Domain B: Content Authoring &amp; Verification Layer</w:t>
      </w:r>
    </w:p>
    <w:p>
      <w:pPr>
        <w:pStyle w:val="Heading3"/>
      </w:pPr>
      <w:r>
        <w:t>UC-05: Compose Case Study via Creation Studio</w:t>
      </w:r>
    </w:p>
    <w:p>
      <w:pPr>
        <w:pStyle w:val="ListBullet"/>
      </w:pPr>
      <w:r>
        <w:t>**Description:** An optimized creation studio guiding consultants through a 4-step wizard (*Format $\to$ Template $\to$ Evidence $\to$ Conversion Anchor*) with split-screen preview.</w:t>
      </w:r>
    </w:p>
    <w:p>
      <w:pPr>
        <w:pStyle w:val="ListBullet"/>
      </w:pPr>
      <w:r>
        <w:t>**Inputs:** Slide text, syntax-highlighted code snippets, Mermaid diagram scripts, media uploads.</w:t>
      </w:r>
    </w:p>
    <w:p>
      <w:pPr>
        <w:pStyle w:val="ListBullet"/>
      </w:pPr>
      <w:r>
        <w:t>**Outputs:** Live interactive mobile preview pane, formatted multi-slide carousel deck.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**FR-05.1:** The system shall provide 3 narrative frameworks: *Case Study* (*Challenge $\to$ Solution $\to$ Impact*), *Explainer* (*Concept $\to$ Anti-Pattern $\to$ Framework*), and *Toolkit* (*Problem $\to$ Stack $\to$ Checklist*).</w:t>
      </w:r>
    </w:p>
    <w:p>
      <w:pPr>
        <w:pStyle w:val="ListBullet"/>
      </w:pPr>
      <w:r>
        <w:t>**FR-05.2:** The system shall enforce a strict limit of $\le 300$ characters per slide, disabling advancement if the limit is exceeded.</w:t>
      </w:r>
    </w:p>
    <w:p>
      <w:pPr>
        <w:pStyle w:val="ListBullet"/>
      </w:pPr>
      <w:r>
        <w:t>**FR-05.3:** On desktop viewports, the system shall render real-time interactive slide updates on the right pane as text is entered on the left pane.</w:t>
      </w:r>
    </w:p>
    <w:p>
      <w:pPr>
        <w:pStyle w:val="Heading3"/>
      </w:pPr>
      <w:r>
        <w:t>UC-06: Tag Evidence &amp; Proof of Execution</w:t>
      </w:r>
    </w:p>
    <w:p>
      <w:pPr>
        <w:pStyle w:val="ListBullet"/>
      </w:pPr>
      <w:r>
        <w:t>**Description:** Consultants attach verifiable proof artifacts (GitHub commits, enterprise client sign-offs, and masked case memos) to establish credibility.</w:t>
      </w:r>
    </w:p>
    <w:p>
      <w:pPr>
        <w:pStyle w:val="ListBullet"/>
      </w:pPr>
      <w:r>
        <w:t>**Inputs:** GitHub repository URL, commit SHA, client username handle, image upload with redaction mask.</w:t>
      </w:r>
    </w:p>
    <w:p>
      <w:pPr>
        <w:pStyle w:val="ListBullet"/>
      </w:pPr>
      <w:r>
        <w:t>**Outputs:** Verified GitHub repository badge, client co-author confirmation tag, irreversible redacted image assets.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**FR-06.1:** The system shall query the GitHub API to authenticate repository existence, commit SHAs, star counts, and language breakdown.</w:t>
      </w:r>
    </w:p>
    <w:p>
      <w:pPr>
        <w:pStyle w:val="ListBullet"/>
      </w:pPr>
      <w:r>
        <w:t>**FR-06.2:** The system shall notify tagged enterprise client accounts, displaying a "Client Verified" badge once confirmed.</w:t>
      </w:r>
    </w:p>
    <w:p>
      <w:pPr>
        <w:pStyle w:val="ListBullet"/>
      </w:pPr>
      <w:r>
        <w:t>**FR-06.3:** The system shall provide an in-studio client-side canvas blur tool that permanently masks sensitive corporate IP before asset upload.</w:t>
      </w:r>
    </w:p>
    <w:p>
      <w:pPr>
        <w:pStyle w:val="Heading3"/>
      </w:pPr>
      <w:r>
        <w:t>UC-07: Attach Conversion Anchor Call-to-Action</w:t>
      </w:r>
    </w:p>
    <w:p>
      <w:pPr>
        <w:pStyle w:val="ListBullet"/>
      </w:pPr>
      <w:r>
        <w:t>**Description:** Consultants embed a native commercial conversion hook at the footer of their case studies.</w:t>
      </w:r>
    </w:p>
    <w:p>
      <w:pPr>
        <w:pStyle w:val="ListBullet"/>
      </w:pPr>
      <w:r>
        <w:t>**Inputs:** Anchor type selection (*15-Min Discovery*, *Technical Audit*, *Download Framework*, *Retainer Inquiry*), pricing in KES, intake labels.</w:t>
      </w:r>
    </w:p>
    <w:p>
      <w:pPr>
        <w:pStyle w:val="ListBullet"/>
      </w:pPr>
      <w:r>
        <w:t>**Outputs:** High-contrast sticky CTA button bound directly to the consultant's calendar or escrow vault.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**FR-07.1:** The system shall support 4 distinct conversion anchor types with custom KES pricing.</w:t>
      </w:r>
    </w:p>
    <w:p>
      <w:pPr>
        <w:pStyle w:val="ListBullet"/>
      </w:pPr>
      <w:r>
        <w:t>**FR-07.2:** The system shall scan CTA inputs and automatically reject any external payment links, WhatsApp numbers, or bypass URLs.</w:t>
      </w:r>
    </w:p>
    <w:p>
      <w:pPr>
        <w:pStyle w:val="ListBullet"/>
      </w:pPr>
      <w:r>
        <w:t>**FR-07.3:** Clicking the CTA shall open the native slide-up booking sheet over the active content.</w:t>
      </w:r>
    </w:p>
    <w:p>
      <w:pPr>
        <w:pStyle w:val="Heading3"/>
      </w:pPr>
      <w:r>
        <w:t>UC-08: Verify Identity &amp; Professional Credentials</w:t>
      </w:r>
    </w:p>
    <w:p>
      <w:pPr>
        <w:pStyle w:val="ListBullet"/>
      </w:pPr>
      <w:r>
        <w:t>**Description:** Automated vetting of consultant identity via government registries and statutory professional boards.</w:t>
      </w:r>
    </w:p>
    <w:p>
      <w:pPr>
        <w:pStyle w:val="ListBullet"/>
      </w:pPr>
      <w:r>
        <w:t>**Inputs:** National ID number, legal full name, KRA PIN, statutory board practice number (LSK, ICPAK, EBK).</w:t>
      </w:r>
    </w:p>
    <w:p>
      <w:pPr>
        <w:pStyle w:val="ListBullet"/>
      </w:pPr>
      <w:r>
        <w:t>**Outputs:** Bronze Verification badge (Identity/KRA valid), Silver Verification badge (Board active), CAS multiplier.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**FR-08.1:** The system shall query IPRS and KRA gateways to confirm legal identity within $\le 60\text{s}$ to issue Bronze status.</w:t>
      </w:r>
    </w:p>
    <w:p>
      <w:pPr>
        <w:pStyle w:val="ListBullet"/>
      </w:pPr>
      <w:r>
        <w:t>**FR-08.2:** The system shall query statutory professional board registries to confirm active practice standing, issuing Silver status and domain authority boosts.</w:t>
      </w:r>
    </w:p>
    <w:p>
      <w:pPr>
        <w:pStyle w:val="ListBullet"/>
      </w:pPr>
      <w:r>
        <w:t>**FR-08.3:** If an annual credential re-verification fails, the system shall strip badges and place wallet withdrawals on provisional hold.</w:t>
      </w:r>
    </w:p>
    <w:p>
      <w:r>
        <w:t>---</w:t>
      </w:r>
    </w:p>
    <w:p>
      <w:pPr>
        <w:pStyle w:val="Heading2"/>
      </w:pPr>
      <w:r>
        <w:t>3.3 Domain C: Native Scheduling &amp; Consultation</w:t>
      </w:r>
    </w:p>
    <w:p>
      <w:pPr>
        <w:pStyle w:val="Heading3"/>
      </w:pPr>
      <w:r>
        <w:t>UC-09: Book In-App Advisory Consultation</w:t>
      </w:r>
    </w:p>
    <w:p>
      <w:pPr>
        <w:pStyle w:val="ListBullet"/>
      </w:pPr>
      <w:r>
        <w:t>**Description:** Native slide-up scheduling sheet allowing clients to book advisory sessions in $\le 4$ taps without external redirection.</w:t>
      </w:r>
    </w:p>
    <w:p>
      <w:pPr>
        <w:pStyle w:val="ListBullet"/>
      </w:pPr>
      <w:r>
        <w:t>**Inputs:** Slot selection, mandatory 3-question intake responses (*Challenge*, *Tech Stack*, *Expected Deliverable*).</w:t>
      </w:r>
    </w:p>
    <w:p>
      <w:pPr>
        <w:pStyle w:val="ListBullet"/>
      </w:pPr>
      <w:r>
        <w:t>**Outputs:** 10-minute distributed mutex slot lock, calendar reservation record.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**FR-09.1:** The system shall fetch real-time availability from Google and Outlook APIs, applying working hours and buffer constraints.</w:t>
      </w:r>
    </w:p>
    <w:p>
      <w:pPr>
        <w:pStyle w:val="ListBullet"/>
      </w:pPr>
      <w:r>
        <w:t>**FR-09.2:** The system shall acquire an exclusive 10-minute Redis mutex lock on the selected slot upon proceeding to checkout.</w:t>
      </w:r>
    </w:p>
    <w:p>
      <w:pPr>
        <w:pStyle w:val="ListBullet"/>
      </w:pPr>
      <w:r>
        <w:t>**FR-09.3:** The system shall mandate completion of all 3 intake questionnaire fields before unlocking payment rails.</w:t>
      </w:r>
    </w:p>
    <w:p>
      <w:pPr>
        <w:pStyle w:val="Heading3"/>
      </w:pPr>
      <w:r>
        <w:t>UC-10: Process Payment via M-Pesa STK Push</w:t>
      </w:r>
    </w:p>
    <w:p>
      <w:pPr>
        <w:pStyle w:val="ListBullet"/>
      </w:pPr>
      <w:r>
        <w:t>**Description:** Mobile checkout dispatching automated STK prompts directly to the client's Safaricom handset.</w:t>
      </w:r>
    </w:p>
    <w:p>
      <w:pPr>
        <w:pStyle w:val="ListBullet"/>
      </w:pPr>
      <w:r>
        <w:t>**Inputs:** Safaricom mobile phone number, user PIN confirmation on mobile device.</w:t>
      </w:r>
    </w:p>
    <w:p>
      <w:pPr>
        <w:pStyle w:val="ListBullet"/>
      </w:pPr>
      <w:r>
        <w:t>**Outputs:** STK push prompt, transaction webhook callback, confirmed booking record, eTIMS tax invoice receipt.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**FR-10.1:** The system shall call Daraja / Paystack APIs to dispatch an STK push prompt within $\le 5\text{s}$ of submission.</w:t>
      </w:r>
    </w:p>
    <w:p>
      <w:pPr>
        <w:pStyle w:val="ListBullet"/>
      </w:pPr>
      <w:r>
        <w:t>**FR-10.2:** The system shall confirm booking within $\le 2\text{s}$ of receiving a valid payment webhook, enforcing idempotency via `MpesaReceiptNumber`.</w:t>
      </w:r>
    </w:p>
    <w:p>
      <w:pPr>
        <w:pStyle w:val="ListBullet"/>
      </w:pPr>
      <w:r>
        <w:t>**FR-10.3:** If the STK prompt times out after 60 seconds, the system shall render manual Paybill instructions with a 15-minute dynamic reference code.</w:t>
      </w:r>
    </w:p>
    <w:p>
      <w:pPr>
        <w:pStyle w:val="Heading3"/>
      </w:pPr>
      <w:r>
        <w:t>UC-11: Process Cross-Border Card Payment</w:t>
      </w:r>
    </w:p>
    <w:p>
      <w:pPr>
        <w:pStyle w:val="ListBullet"/>
      </w:pPr>
      <w:r>
        <w:t>**Description:** Multi-currency payment processing accepting Visa, Mastercard, and Amex from international enterprise clients.</w:t>
      </w:r>
    </w:p>
    <w:p>
      <w:pPr>
        <w:pStyle w:val="ListBullet"/>
      </w:pPr>
      <w:r>
        <w:t>**Inputs:** Currency selection (USD, EUR, GBP, KES), credit/debit card details, 3D-Secure authentication.</w:t>
      </w:r>
    </w:p>
    <w:p>
      <w:pPr>
        <w:pStyle w:val="ListBullet"/>
      </w:pPr>
      <w:r>
        <w:t>**Outputs:** Tokenized card record, FX conversion breakdown based on live CBK rates, confirmed booking.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**FR-11.1:** The system shall fetch live Central Bank of Kenya reference exchange rates and display KES equivalents before checkout.</w:t>
      </w:r>
    </w:p>
    <w:p>
      <w:pPr>
        <w:pStyle w:val="ListBullet"/>
      </w:pPr>
      <w:r>
        <w:t>**FR-11.2:** The system shall mandate 3D-Secure 2.0 two-factor authentication for all card transactions.</w:t>
      </w:r>
    </w:p>
    <w:p>
      <w:pPr>
        <w:pStyle w:val="ListBullet"/>
      </w:pPr>
      <w:r>
        <w:t>**FR-11.3:** The system shall tokenize card credentials in compliance with PCI-DSS, storing only masked PAN digits and secure tokens.</w:t>
      </w:r>
    </w:p>
    <w:p>
      <w:pPr>
        <w:pStyle w:val="Heading3"/>
      </w:pPr>
      <w:r>
        <w:t>UC-12: Conduct Secure Live Consultation</w:t>
      </w:r>
    </w:p>
    <w:p>
      <w:pPr>
        <w:pStyle w:val="ListBullet"/>
      </w:pPr>
      <w:r>
        <w:t>**Description:** Confidential advisory sessions conducted in-browser via encrypted WebRTC video.</w:t>
      </w:r>
    </w:p>
    <w:p>
      <w:pPr>
        <w:pStyle w:val="ListBullet"/>
      </w:pPr>
      <w:r>
        <w:t>**Inputs:** Camera/microphone streams, screen share capture, sidebar action-item text entries.</w:t>
      </w:r>
    </w:p>
    <w:p>
      <w:pPr>
        <w:pStyle w:val="ListBullet"/>
      </w:pPr>
      <w:r>
        <w:t>**Outputs:** Peer-to-peer 1080p video, 5-minute wrap-up reminder banner, emailed session summary.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**FR-12.1:** The system shall establish encrypted peer-to-peer WebRTC connections via DTLS-SRTP, falling back to TURN relay servers when direct connection is blocked.</w:t>
      </w:r>
    </w:p>
    <w:p>
      <w:pPr>
        <w:pStyle w:val="ListBullet"/>
      </w:pPr>
      <w:r>
        <w:t>**FR-12.2:** The system shall support 1080p 30fps screen sharing with interactive diagram markup tools.</w:t>
      </w:r>
    </w:p>
    <w:p>
      <w:pPr>
        <w:pStyle w:val="ListBullet"/>
      </w:pPr>
      <w:r>
        <w:t>**FR-12.3:** The system shall display a non-intrusive banner when 5 minutes remain in the session, allowing mutual 15-minute extensions.</w:t>
      </w:r>
    </w:p>
    <w:p>
      <w:r>
        <w:t>---</w:t>
      </w:r>
    </w:p>
    <w:p>
      <w:pPr>
        <w:pStyle w:val="Heading2"/>
      </w:pPr>
      <w:r>
        <w:t>3.4 Domain D: Milestone Escrow &amp; B2B Contracts</w:t>
      </w:r>
    </w:p>
    <w:p>
      <w:pPr>
        <w:pStyle w:val="Heading3"/>
      </w:pPr>
      <w:r>
        <w:t>UC-13: Fund Milestone Escrow Contract</w:t>
      </w:r>
    </w:p>
    <w:p>
      <w:pPr>
        <w:pStyle w:val="ListBullet"/>
      </w:pPr>
      <w:r>
        <w:t>**Description:** De-risks multi-week consulting engagements by locking project funds into an escrow vault prior to execution.</w:t>
      </w:r>
    </w:p>
    <w:p>
      <w:pPr>
        <w:pStyle w:val="ListBullet"/>
      </w:pPr>
      <w:r>
        <w:t>**Inputs:** Itemized Statement of Work (SOW) milestone schedule, digital signatures, escrow deposit payment.</w:t>
      </w:r>
    </w:p>
    <w:p>
      <w:pPr>
        <w:pStyle w:val="ListBullet"/>
      </w:pPr>
      <w:r>
        <w:t>**Outputs:** Immutable escrow contract record, locked deposit balance, execution authorization notice.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**FR-13.1:** The system shall require both parties to digitally sign the SOW defining deliverables, deadlines, and milestone budgets.</w:t>
      </w:r>
    </w:p>
    <w:p>
      <w:pPr>
        <w:pStyle w:val="ListBullet"/>
      </w:pPr>
      <w:r>
        <w:t>**FR-13.2:** The system shall lock deposit funds into the platform trust ledger upon payment clearance.</w:t>
      </w:r>
    </w:p>
    <w:p>
      <w:pPr>
        <w:pStyle w:val="ListBullet"/>
      </w:pPr>
      <w:r>
        <w:t>**FR-13.3:** The system shall prevent the consultant from advancing to milestone execution until escrow funding is verified.</w:t>
      </w:r>
    </w:p>
    <w:p>
      <w:pPr>
        <w:pStyle w:val="Heading3"/>
      </w:pPr>
      <w:r>
        <w:t>UC-14: Submit Project Milestone Deliverable</w:t>
      </w:r>
    </w:p>
    <w:p>
      <w:pPr>
        <w:pStyle w:val="ListBullet"/>
      </w:pPr>
      <w:r>
        <w:t>**Description:** Consultants upload final deliverables, generating immutable cryptographic delivery proofs.</w:t>
      </w:r>
    </w:p>
    <w:p>
      <w:pPr>
        <w:pStyle w:val="ListBullet"/>
      </w:pPr>
      <w:r>
        <w:t>**Inputs:** Deliverable asset files (PDFs, ZIPs, code repositories), technical completion summary, extension requests.</w:t>
      </w:r>
    </w:p>
    <w:p>
      <w:pPr>
        <w:pStyle w:val="ListBullet"/>
      </w:pPr>
      <w:r>
        <w:t>**Outputs:** Uploaded locker assets, SHA-256 checksum recorded in ledger, 72-hour review timer initialized.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**FR-14.1:** The system shall compute a SHA-256 checksum across all uploaded files and record the hash and timestamp in the immutable audit ledger.</w:t>
      </w:r>
    </w:p>
    <w:p>
      <w:pPr>
        <w:pStyle w:val="ListBullet"/>
      </w:pPr>
      <w:r>
        <w:t>**FR-14.2:** The system shall initialize a 72-hour inspection countdown timer upon deliverable submission.</w:t>
      </w:r>
    </w:p>
    <w:p>
      <w:pPr>
        <w:pStyle w:val="ListBullet"/>
      </w:pPr>
      <w:r>
        <w:t>**FR-14.3:** The system shall allow consultants to request deadline extensions without penalty if submitted before the milestone due date.</w:t>
      </w:r>
    </w:p>
    <w:p>
      <w:pPr>
        <w:pStyle w:val="Heading3"/>
      </w:pPr>
      <w:r>
        <w:t>UC-15: Review &amp; Approve Escrow Milestone</w:t>
      </w:r>
    </w:p>
    <w:p>
      <w:pPr>
        <w:pStyle w:val="ListBullet"/>
      </w:pPr>
      <w:r>
        <w:t>**Description:** Client reviews deliverables, releasing funds with 1 click; includes automated 7-day auto-release fallbacks and instant mobile payouts.</w:t>
      </w:r>
    </w:p>
    <w:p>
      <w:pPr>
        <w:pStyle w:val="ListBullet"/>
      </w:pPr>
      <w:r>
        <w:t>**Inputs:** Client "Approve Deliverable" click, withdrawal destination selection (M-Pesa B2C vs Bank EFT).</w:t>
      </w:r>
    </w:p>
    <w:p>
      <w:pPr>
        <w:pStyle w:val="ListBullet"/>
      </w:pPr>
      <w:r>
        <w:t>**Outputs:** Unlocked escrow funds, 5%–8% platform take rate journalized, net payout credited, instant B2C mobile transfer.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**FR-15.1:** Upon client approval, the system shall release funds, deduct the platform take rate, and credit the consultant wallet in $\le 5\text{s}$.</w:t>
      </w:r>
    </w:p>
    <w:p>
      <w:pPr>
        <w:pStyle w:val="ListBullet"/>
      </w:pPr>
      <w:r>
        <w:t>**FR-15.2:** If a client takes zero action for 168 hours (7 days) after submission, the system shall automatically execute the approval and release funds.</w:t>
      </w:r>
    </w:p>
    <w:p>
      <w:pPr>
        <w:pStyle w:val="ListBullet"/>
      </w:pPr>
      <w:r>
        <w:t>**FR-15.3:** The system shall disburse funds to the consultant's Safaricom phone via B2C API in under 30 seconds upon withdrawal request.</w:t>
      </w:r>
    </w:p>
    <w:p>
      <w:pPr>
        <w:pStyle w:val="Heading3"/>
      </w:pPr>
      <w:r>
        <w:t>UC-16: Initiate Escrow Dispute &amp; Mediation</w:t>
      </w:r>
    </w:p>
    <w:p>
      <w:pPr>
        <w:pStyle w:val="ListBullet"/>
      </w:pPr>
      <w:r>
        <w:t>**Description:** Halts automated release clocks when deliverables fail specifications, opening an evidence-backed dispute process.</w:t>
      </w:r>
    </w:p>
    <w:p>
      <w:pPr>
        <w:pStyle w:val="ListBullet"/>
      </w:pPr>
      <w:r>
        <w:t>**Inputs:** Client/consultant dispute notice, SOW clause breach descriptions, uploaded evidence files.</w:t>
      </w:r>
    </w:p>
    <w:p>
      <w:pPr>
        <w:pStyle w:val="ListBullet"/>
      </w:pPr>
      <w:r>
        <w:t>**Outputs:** Frozen escrow balance, paused countdown timers, mutual 48-hour evidence submission thread.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**FR-16.1:** Raising a dispute shall immediately freeze milestone escrow funds and pause auto-approval timers.</w:t>
      </w:r>
    </w:p>
    <w:p>
      <w:pPr>
        <w:pStyle w:val="ListBullet"/>
      </w:pPr>
      <w:r>
        <w:t>**FR-16.2:** The system shall provide a 48-hour mutual evidence submission portal for both parties.</w:t>
      </w:r>
    </w:p>
    <w:p>
      <w:pPr>
        <w:pStyle w:val="ListBullet"/>
      </w:pPr>
      <w:r>
        <w:t>**FR-16.3:** The system shall allow parties to execute an amicable prorated split agreement without mediator intervention.</w:t>
      </w:r>
    </w:p>
    <w:p>
      <w:r>
        <w:t>---</w:t>
      </w:r>
    </w:p>
    <w:p>
      <w:pPr>
        <w:pStyle w:val="Heading2"/>
      </w:pPr>
      <w:r>
        <w:t>3.5 Domain E: Algorithmic Intelligence &amp; Telemetry</w:t>
      </w:r>
    </w:p>
    <w:p>
      <w:pPr>
        <w:pStyle w:val="Heading3"/>
      </w:pPr>
      <w:r>
        <w:t>UC-17: Calculate Creator Authority Score (CAS)</w:t>
      </w:r>
    </w:p>
    <w:p>
      <w:pPr>
        <w:pStyle w:val="ListBullet"/>
      </w:pPr>
      <w:r>
        <w:t>**Description:** Evaluates professional authority using a multi-factor formula, replacing superficial vanity metrics.</w:t>
      </w:r>
    </w:p>
    <w:p>
      <w:pPr>
        <w:pStyle w:val="ListBullet"/>
      </w:pPr>
      <w:r>
        <w:t>**Inputs:** Credential records, completed escrow contracts, star ratings, save/bookmark telemetry, peer endorsements.</w:t>
      </w:r>
    </w:p>
    <w:p>
      <w:pPr>
        <w:pStyle w:val="ListBullet"/>
      </w:pPr>
      <w:r>
        <w:t>**Outputs:** Normalized CAS score (0.00 to 10.00), algorithmic feed ranking multiplier.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**FR-17.1:** The system shall calculate CAS based on: Verified Credentials (40%), Completed Contracts &amp; Ratings (30%), Sanitized Bookmark Telemetry (15%), and Peer Endorsements (15%).</w:t>
      </w:r>
    </w:p>
    <w:p>
      <w:pPr>
        <w:pStyle w:val="ListBullet"/>
      </w:pPr>
      <w:r>
        <w:t>**FR-17.2:** The system shall apply a 5% monthly decay to engagement factors after 180 days of creator inactivity.</w:t>
      </w:r>
    </w:p>
    <w:p>
      <w:pPr>
        <w:pStyle w:val="ListBullet"/>
      </w:pPr>
      <w:r>
        <w:t>**FR-17.3:** The system shall detect and quarantine bookmark velocity anomalies originating from bot farms or correlated IP addresses.</w:t>
      </w:r>
    </w:p>
    <w:p>
      <w:pPr>
        <w:pStyle w:val="Heading3"/>
      </w:pPr>
      <w:r>
        <w:t>UC-18: Personalize Two-Pass Discovery Feed</w:t>
      </w:r>
    </w:p>
    <w:p>
      <w:pPr>
        <w:pStyle w:val="ListBullet"/>
      </w:pPr>
      <w:r>
        <w:t>**Description:** Two-pass recommendation pipeline delivering hyper-relevant feeds with regional East African context.</w:t>
      </w:r>
    </w:p>
    <w:p>
      <w:pPr>
        <w:pStyle w:val="ListBullet"/>
      </w:pPr>
      <w:r>
        <w:t>**Inputs:** User interaction vectors, 128-D case study vectors, creator CAS scores, geographic tags.</w:t>
      </w:r>
    </w:p>
    <w:p>
      <w:pPr>
        <w:pStyle w:val="ListBullet"/>
      </w:pPr>
      <w:r>
        <w:t>**Outputs:** Ranked top 20 feed cards delivered in under 200ms.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**FR-18.1:** **Pass 1:** The system shall retrieve the top 200 candidate cards using vector cosine similarity within $\le 50\text{ms}$.</w:t>
      </w:r>
    </w:p>
    <w:p>
      <w:pPr>
        <w:pStyle w:val="ListBullet"/>
      </w:pPr>
      <w:r>
        <w:t>**FR-18.2:** **Pass 2:** The system shall score candidates by multiplying vector similarity $\times$ CAS $\times$ Regional East Africa Multiplier ($1.25\times$), returning top 20 cards in $\le 200\text{ms}$.</w:t>
      </w:r>
    </w:p>
    <w:p>
      <w:pPr>
        <w:pStyle w:val="ListBullet"/>
      </w:pPr>
      <w:r>
        <w:t>**FR-18.3:** The system shall inject a 15% exploration quota across diverse disciplines for newly onboarded users.</w:t>
      </w:r>
    </w:p>
    <w:p>
      <w:r>
        <w:t>---</w:t>
      </w:r>
    </w:p>
    <w:p>
      <w:pPr>
        <w:pStyle w:val="Heading2"/>
      </w:pPr>
      <w:r>
        <w:t>3.6 Domain F: Governance, Administration &amp; Compliance</w:t>
      </w:r>
    </w:p>
    <w:p>
      <w:pPr>
        <w:pStyle w:val="Heading3"/>
      </w:pPr>
      <w:r>
        <w:t>UC-19: Manage Phased Rollout &amp; Creator Onboarding</w:t>
      </w:r>
    </w:p>
    <w:p>
      <w:pPr>
        <w:pStyle w:val="ListBullet"/>
      </w:pPr>
      <w:r>
        <w:t>**Description:** Manages ecosystem transitions across Phase 1 (Anchor Agency), Phase 2 (Curated Cohort), and Phase 3 (Open Multi-Tenancy).</w:t>
      </w:r>
    </w:p>
    <w:p>
      <w:pPr>
        <w:pStyle w:val="ListBullet"/>
      </w:pPr>
      <w:r>
        <w:t>**Inputs:** Admin phase state toggle, cryptographic invite code issuance, applicant registration submissions.</w:t>
      </w:r>
    </w:p>
    <w:p>
      <w:pPr>
        <w:pStyle w:val="ListBullet"/>
      </w:pPr>
      <w:r>
        <w:t>**Outputs:** Studio access permission gates, Founding Creator badges, multi-tenant directory indexing.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**FR-19.1:** In Phase 1, the system shall restrict publishing exclusively to proprietary founding agency accounts.</w:t>
      </w:r>
    </w:p>
    <w:p>
      <w:pPr>
        <w:pStyle w:val="ListBullet"/>
      </w:pPr>
      <w:r>
        <w:t>**FR-19.2:** In Phase 2, creator registration shall require a valid cryptographic invitation code.</w:t>
      </w:r>
    </w:p>
    <w:p>
      <w:pPr>
        <w:pStyle w:val="ListBullet"/>
      </w:pPr>
      <w:r>
        <w:t>**FR-19.3:** In Phase 3, the system shall unlock automated self-service onboarding with multi-tenant workspace isolation.</w:t>
      </w:r>
    </w:p>
    <w:p>
      <w:pPr>
        <w:pStyle w:val="Heading3"/>
      </w:pPr>
      <w:r>
        <w:t>UC-20: Moderate Platform Content &amp; Enforce NDAs</w:t>
      </w:r>
    </w:p>
    <w:p>
      <w:pPr>
        <w:pStyle w:val="ListBullet"/>
      </w:pPr>
      <w:r>
        <w:t>**Description:** NLP quality filtering and emergency takedowns to protect enterprise intellectual property.</w:t>
      </w:r>
    </w:p>
    <w:p>
      <w:pPr>
        <w:pStyle w:val="ListBullet"/>
      </w:pPr>
      <w:r>
        <w:t>**Inputs:** Published posts, community flags, enterprise NDA takedown requests, creator appeals.</w:t>
      </w:r>
    </w:p>
    <w:p>
      <w:pPr>
        <w:pStyle w:val="ListBullet"/>
      </w:pPr>
      <w:r>
        <w:t>**Outputs:** Quarantined post records, emergency 4-hour SLA admin tickets, moderation rulings.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**FR-20.1:** The system shall execute automated NLP scans to quarantine posts containing spam, emotional fluff, or lacking technical frameworks.</w:t>
      </w:r>
    </w:p>
    <w:p>
      <w:pPr>
        <w:pStyle w:val="ListBullet"/>
      </w:pPr>
      <w:r>
        <w:t>**FR-20.2:** Verified enterprise NDA complaints shall immediately hide the post within $\le 60\text{s}$ and trigger a 4-hour SLA admin review ticket.</w:t>
      </w:r>
    </w:p>
    <w:p>
      <w:pPr>
        <w:pStyle w:val="ListBullet"/>
      </w:pPr>
      <w:r>
        <w:t>**FR-20.3:** The system shall provide an appeal portal allowing creators to submit justifications for flagged posts.</w:t>
      </w:r>
    </w:p>
    <w:p>
      <w:pPr>
        <w:pStyle w:val="Heading3"/>
      </w:pPr>
      <w:r>
        <w:t>UC-21: Adjudicate Milestone Dispute</w:t>
      </w:r>
    </w:p>
    <w:p>
      <w:pPr>
        <w:pStyle w:val="ListBullet"/>
      </w:pPr>
      <w:r>
        <w:t>**Description:** Neutral dispute resolution dashboard enabling certified mediators to review evidence and issue binding rulings.</w:t>
      </w:r>
    </w:p>
    <w:p>
      <w:pPr>
        <w:pStyle w:val="ListBullet"/>
      </w:pPr>
      <w:r>
        <w:t>**Inputs:** SOW contracts, SHA-256 asset checksums, chat transcripts, mediator percentage ruling.</w:t>
      </w:r>
    </w:p>
    <w:p>
      <w:pPr>
        <w:pStyle w:val="ListBullet"/>
      </w:pPr>
      <w:r>
        <w:t>**Outputs:** Executed fund disbursements, immutable adjudication log entry, CIArb arbitration referral.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**FR-21.1:** The system shall display all SOW clauses, SHA-256 asset checksums, and communication logs in a unified chronological dashboard.</w:t>
      </w:r>
    </w:p>
    <w:p>
      <w:pPr>
        <w:pStyle w:val="ListBullet"/>
      </w:pPr>
      <w:r>
        <w:t>**FR-21.2:** The system shall execute binding percentage disbursements (0%–100%) as directed by the mediator's authenticated ruling.</w:t>
      </w:r>
    </w:p>
    <w:p>
      <w:pPr>
        <w:pStyle w:val="ListBullet"/>
      </w:pPr>
      <w:r>
        <w:t>**FR-21.3:** For contracts $&gt; \text{KES } 1,000,000$, the system shall support escrow transfer into legal suspense pending formal CIArb tribunal awards.</w:t>
      </w:r>
    </w:p>
    <w:p>
      <w:pPr>
        <w:pStyle w:val="Heading3"/>
      </w:pPr>
      <w:r>
        <w:t>UC-22: Audit Financial Settlement &amp; Tax Compliance</w:t>
      </w:r>
    </w:p>
    <w:p>
      <w:pPr>
        <w:pStyle w:val="ListBullet"/>
      </w:pPr>
      <w:r>
        <w:t>**Description:** Automated revenue accounting, KRA eTIMS fiscal invoice generation, and withholding tax compliance.</w:t>
      </w:r>
    </w:p>
    <w:p>
      <w:pPr>
        <w:pStyle w:val="ListBullet"/>
      </w:pPr>
      <w:r>
        <w:t>**Inputs:** Milestone release events, consultation payments, corporate tax PINs.</w:t>
      </w:r>
    </w:p>
    <w:p>
      <w:pPr>
        <w:pStyle w:val="ListBullet"/>
      </w:pPr>
      <w:r>
        <w:t>**Outputs:** 5%–8% platform take rate journal entries, KRA eTIMS QR-coded VAT receipts, 5% WHT certificates.</w:t>
      </w:r>
    </w:p>
    <w:p>
      <w:pPr>
        <w:pStyle w:val="ListBullet"/>
      </w:pPr>
      <w:r>
        <w:t>**Functional Requirements:**</w:t>
      </w:r>
    </w:p>
    <w:p>
      <w:pPr>
        <w:pStyle w:val="ListBullet"/>
      </w:pPr>
      <w:r>
        <w:t>**FR-22.1:** The system shall automatically deduct the 5%–8% platform take rate and credit it to the platform operating account upon payment release.</w:t>
      </w:r>
    </w:p>
    <w:p>
      <w:pPr>
        <w:pStyle w:val="ListBullet"/>
      </w:pPr>
      <w:r>
        <w:t>**FR-22.2:** The system shall call the KRA eTIMS API to generate a cryptographically validated tax invoice with a scannable QR code for every fee transaction.</w:t>
      </w:r>
    </w:p>
    <w:p>
      <w:pPr>
        <w:pStyle w:val="ListBullet"/>
      </w:pPr>
      <w:r>
        <w:t>**FR-22.3:** The system shall itemize statutory 5% professional Withholding Tax (WHT) deductions on corporate billing statements.</w:t>
      </w:r>
    </w:p>
    <w:p>
      <w:r>
        <w:t>---</w:t>
      </w:r>
    </w:p>
    <w:p>
      <w:pPr>
        <w:pStyle w:val="Heading1"/>
      </w:pPr>
      <w:r>
        <w:t>4. EXTERNAL INTERFACE REQUIREMENTS</w:t>
      </w:r>
    </w:p>
    <w:p>
      <w:pPr>
        <w:pStyle w:val="Heading3"/>
      </w:pPr>
      <w:r>
        <w:t>4.1 User Interfaces &amp; Dual-Mode Ergonomics</w:t>
      </w:r>
    </w:p>
    <w:p>
      <w:pPr>
        <w:pStyle w:val="ListBullet"/>
      </w:pPr>
      <w:r>
        <w:t>The UI shall adhere to a dual-mode interaction model:</w:t>
      </w:r>
    </w:p>
    <w:p>
      <w:pPr>
        <w:pStyle w:val="ListNumber"/>
      </w:pPr>
      <w:r>
        <w:t>**Vertical Stream (Home Tab)**: Full-height, swipe-driven feed for passive discovery.</w:t>
      </w:r>
    </w:p>
    <w:p>
      <w:pPr>
        <w:pStyle w:val="ListNumber"/>
      </w:pPr>
      <w:r>
        <w:t>**Bento Grid (Profile &amp; Explore Tabs)**: High-density modular grid for 5-second competence due diligence.</w:t>
      </w:r>
    </w:p>
    <w:p>
      <w:pPr>
        <w:pStyle w:val="ListBullet"/>
      </w:pPr>
      <w:r>
        <w:t>The UI shall support both light and dark modes with high-contrast typography satisfying WCAG 2.1 AA ($\ge 4.5:1$).</w:t>
      </w:r>
    </w:p>
    <w:p>
      <w:pPr>
        <w:pStyle w:val="Heading3"/>
      </w:pPr>
      <w:r>
        <w:t>4.2 Hardware Interfaces &amp; Camera/Sensor Streaming</w:t>
      </w:r>
    </w:p>
    <w:p>
      <w:pPr>
        <w:pStyle w:val="ListBullet"/>
      </w:pPr>
      <w:r>
        <w:t>The system shall access local video capture hardware via the HTML5 `MediaDevices.getUserMedia()` interface.</w:t>
      </w:r>
    </w:p>
    <w:p>
      <w:pPr>
        <w:pStyle w:val="ListBullet"/>
      </w:pPr>
      <w:r>
        <w:t>The system shall process touch events from mobile capacitive touchscreens, distinguishing between horizontal slide drags ($&gt;15\text{px}$) and vertical feed swipes.</w:t>
      </w:r>
    </w:p>
    <w:p>
      <w:pPr>
        <w:pStyle w:val="Heading3"/>
      </w:pPr>
      <w:r>
        <w:t>4.3 Software Interfaces &amp; Statutory Registries</w:t>
      </w:r>
    </w:p>
    <w:p>
      <w:pPr>
        <w:pStyle w:val="ListBullet"/>
      </w:pPr>
      <w:r>
        <w:t>**Government Identity (IPRS &amp; KRA)**: Integration via REST/JSON to validate National ID numbers and KRA PIN certificates.</w:t>
      </w:r>
    </w:p>
    <w:p>
      <w:pPr>
        <w:pStyle w:val="ListBullet"/>
      </w:pPr>
      <w:r>
        <w:t>**Professional Statutory Boards**: Connectors to Law Society of Kenya (LSK), ICPAK, and Engineers Board of Kenya (EBK) to verify active license standing.</w:t>
      </w:r>
    </w:p>
    <w:p>
      <w:pPr>
        <w:pStyle w:val="ListBullet"/>
      </w:pPr>
      <w:r>
        <w:t>**Developer Ecosystems**: GitHub REST API v3 integration to authenticate repositories, pull commit history, and verify code authorship.</w:t>
      </w:r>
    </w:p>
    <w:p>
      <w:pPr>
        <w:pStyle w:val="Heading3"/>
      </w:pPr>
      <w:r>
        <w:t>4.4 Communications &amp; Fintech Protocol Interfaces</w:t>
      </w:r>
    </w:p>
    <w:p>
      <w:pPr>
        <w:pStyle w:val="ListBullet"/>
      </w:pPr>
      <w:r>
        <w:t>**Safaricom Daraja API**:</w:t>
      </w:r>
    </w:p>
    <w:p>
      <w:pPr>
        <w:pStyle w:val="ListBullet"/>
      </w:pPr>
      <w:r>
        <w:t>STK Push (C2B): `POST /mpesa/stkpush/v1/processrequest` over TLS 1.3.</w:t>
      </w:r>
    </w:p>
    <w:p>
      <w:pPr>
        <w:pStyle w:val="ListBullet"/>
      </w:pPr>
      <w:r>
        <w:t>Callback Webhook: Secure HTTPS webhook receiver with IP whitelisting and HMAC signature verification.</w:t>
      </w:r>
    </w:p>
    <w:p>
      <w:pPr>
        <w:pStyle w:val="ListBullet"/>
      </w:pPr>
      <w:r>
        <w:t>B2C Mobile Payouts: `POST /mpesa/b2c/v1/paymentrequest`.</w:t>
      </w:r>
    </w:p>
    <w:p>
      <w:pPr>
        <w:pStyle w:val="ListBullet"/>
      </w:pPr>
      <w:r>
        <w:t>**Card Rails (Paystack / Flutterwave)**: PCI-DSS Level 1 compliant tokenized iframe with 3D-Secure 2.0 challenge authentication.</w:t>
      </w:r>
    </w:p>
    <w:p>
      <w:pPr>
        <w:pStyle w:val="ListBullet"/>
      </w:pPr>
      <w:r>
        <w:t>**KRA eTIMS Fiscal Gateway**: Mutual TLS (mTLS) REST API for electronic tax invoice signing and fiscal QR generation.</w:t>
      </w:r>
    </w:p>
    <w:p>
      <w:r>
        <w:t>---</w:t>
      </w:r>
    </w:p>
    <w:p>
      <w:pPr>
        <w:pStyle w:val="Heading1"/>
      </w:pPr>
      <w:r>
        <w:t>5. NON-FUNCTIONAL QUALITY REQUIREMENTS</w:t>
      </w:r>
    </w:p>
    <w:p>
      <w:pPr>
        <w:ind w:left="576"/>
      </w:pPr>
      <w:r>
        <w:rPr>
          <w:rFonts w:ascii="Consolas" w:hAnsi="Consolas"/>
          <w:color w:val="282828"/>
          <w:sz w:val="19"/>
        </w:rPr>
        <w:t>mindmap</w:t>
        <w:br/>
        <w:t xml:space="preserve">  root((ISO/IEC 25010 Quality Standards))</w:t>
        <w:br/>
        <w:t xml:space="preserve">    Performance</w:t>
        <w:br/>
        <w:t xml:space="preserve">      P95 Feed Latency &lt;= 200ms</w:t>
        <w:br/>
        <w:t xml:space="preserve">      Vector Search &lt;= 50ms</w:t>
        <w:br/>
        <w:t xml:space="preserve">      App Shell TTI &lt;= 1.2s</w:t>
        <w:br/>
        <w:t xml:space="preserve">    Security &amp; Privacy</w:t>
        <w:br/>
        <w:t xml:space="preserve">      PostgreSQL RLS 100%</w:t>
        <w:br/>
        <w:t xml:space="preserve">      Kenya DPA 2019 AES-256</w:t>
        <w:br/>
        <w:t xml:space="preserve">      WebRTC DTLS-SRTP</w:t>
        <w:br/>
        <w:t xml:space="preserve">    Reliability &amp; Fault Tolerance</w:t>
        <w:br/>
        <w:t xml:space="preserve">      Escrow Zero Balance Drift</w:t>
        <w:br/>
        <w:t xml:space="preserve">      STK Webhook Idempotency</w:t>
        <w:br/>
        <w:t xml:space="preserve">      Circuit Breaker &lt;= 15s</w:t>
        <w:br/>
        <w:t xml:space="preserve">    Usability &amp; Governance</w:t>
        <w:br/>
        <w:t xml:space="preserve">      5-Second Due Diligence Scan</w:t>
        <w:br/>
        <w:t xml:space="preserve">      Zero-Redirect Native Booking</w:t>
        <w:br/>
        <w:t xml:space="preserve">      4-Hour SLA NDA Takedown</w:t>
      </w:r>
    </w:p>
    <w:p>
      <w:pPr>
        <w:pStyle w:val="Heading3"/>
      </w:pPr>
      <w:r>
        <w:t>5.1 Performance Requirements</w:t>
      </w:r>
    </w:p>
    <w:p>
      <w:pPr>
        <w:pStyle w:val="ListBullet"/>
      </w:pPr>
      <w:r>
        <w:t>**NFR-PERF-01**: Vertical feed card transition latency ($P_{95}$) shall not exceed $200\text{ms}$ on 4G LTE connections.</w:t>
      </w:r>
    </w:p>
    <w:p>
      <w:pPr>
        <w:pStyle w:val="ListBullet"/>
      </w:pPr>
      <w:r>
        <w:t>**NFR-PERF-02**: Pass 1 vector search retrieval across 100,000 indexed case studies shall execute within $\le 50\text{ms}$.</w:t>
      </w:r>
    </w:p>
    <w:p>
      <w:pPr>
        <w:pStyle w:val="ListBullet"/>
      </w:pPr>
      <w:r>
        <w:t>**NFR-PERF-03**: Time to Interactive (TTI) for the application shell shall not exceed $1.2\text{ seconds}$ on mid-tier mobile hardware.</w:t>
      </w:r>
    </w:p>
    <w:p>
      <w:pPr>
        <w:pStyle w:val="Heading3"/>
      </w:pPr>
      <w:r>
        <w:t>5.2 Security, Confidentiality &amp; RLS Requirements</w:t>
      </w:r>
    </w:p>
    <w:p>
      <w:pPr>
        <w:pStyle w:val="ListBullet"/>
      </w:pPr>
      <w:r>
        <w:t>**NFR-SEC-01**: The database shall enforce Row-Level Security (RLS) on all tenant-sensitive tables, with automated CI tests asserting zero unauthorized cross-tenant data leaks.</w:t>
      </w:r>
    </w:p>
    <w:p>
      <w:pPr>
        <w:pStyle w:val="ListBullet"/>
      </w:pPr>
      <w:r>
        <w:t>**NFR-SEC-02**: All user PII shall be encrypted at rest using AES-256 and in transit using TLS 1.3, satisfying the Kenya Data Protection Act (DPA 2019).</w:t>
      </w:r>
    </w:p>
    <w:p>
      <w:pPr>
        <w:pStyle w:val="ListBullet"/>
      </w:pPr>
      <w:r>
        <w:t>**NFR-SEC-03**: All WebRTC video media streams shall be end-to-end encrypted via DTLS-SRTP.</w:t>
      </w:r>
    </w:p>
    <w:p>
      <w:pPr>
        <w:pStyle w:val="Heading3"/>
      </w:pPr>
      <w:r>
        <w:t>5.3 Reliability, Availability &amp; Escrow Consistency</w:t>
      </w:r>
    </w:p>
    <w:p>
      <w:pPr>
        <w:pStyle w:val="ListBullet"/>
      </w:pPr>
      <w:r>
        <w:t>**NFR-REL-01**: The escrow double-entry ledger shall maintain 100% ACID consistency with zero balance drift ($\sum \text{Deposits} = \sum \text{Held Escrow} + \sum \text{Disbursements} + \sum \text{Fees}$).</w:t>
      </w:r>
    </w:p>
    <w:p>
      <w:pPr>
        <w:pStyle w:val="ListBullet"/>
      </w:pPr>
      <w:r>
        <w:t>**NFR-REL-02**: The M-Pesa webhook handler shall enforce 100% idempotency, safely ignoring duplicate receipt callbacks.</w:t>
      </w:r>
    </w:p>
    <w:p>
      <w:pPr>
        <w:pStyle w:val="ListBullet"/>
      </w:pPr>
      <w:r>
        <w:t>**NFR-REL-03**: Upstream payment gateway failures shall trip a circuit breaker within 15 seconds, seamlessly activating fallback payment rails.</w:t>
      </w:r>
    </w:p>
    <w:p>
      <w:pPr>
        <w:pStyle w:val="Heading3"/>
      </w:pPr>
      <w:r>
        <w:t>5.4 Usability &amp; Accessibility (WCAG 2.1 AA)</w:t>
      </w:r>
    </w:p>
    <w:p>
      <w:pPr>
        <w:pStyle w:val="ListBullet"/>
      </w:pPr>
      <w:r>
        <w:t>**NFR-USA-01**: A client visiting a consultant's profile shall be able to identify their domain authority, rating, and primary discipline within $\le 5\text{ seconds}$ above the fold.</w:t>
      </w:r>
    </w:p>
    <w:p>
      <w:pPr>
        <w:pStyle w:val="ListBullet"/>
      </w:pPr>
      <w:r>
        <w:t>**NFR-USA-02**: Advisory booking shall complete in $\le 4$ distinct user taps within an in-app slide-up sheet without external redirects.</w:t>
      </w:r>
    </w:p>
    <w:p>
      <w:pPr>
        <w:pStyle w:val="ListBullet"/>
      </w:pPr>
      <w:r>
        <w:t>**NFR-USA-03**: All user interface elements shall satisfy WCAG 2.1 Level AA color contrast requirements ($\ge 4.5:1$).</w:t>
      </w:r>
    </w:p>
    <w:p>
      <w:pPr>
        <w:pStyle w:val="Heading3"/>
      </w:pPr>
      <w:r>
        <w:t>5.5 Maintainability, Extensibility &amp; Modifiability</w:t>
      </w:r>
    </w:p>
    <w:p>
      <w:pPr>
        <w:pStyle w:val="ListBullet"/>
      </w:pPr>
      <w:r>
        <w:t>**NFR-MNT-01**: Transitions across rollout phases (Phase 1 Agency $\to$ Phase 2 Beta $\to$ Phase 3 Open Ecosystem) shall be executed via configuration flags with zero database migrations or downtime.</w:t>
      </w:r>
    </w:p>
    <w:p>
      <w:pPr>
        <w:pStyle w:val="ListBullet"/>
      </w:pPr>
      <w:r>
        <w:t>**NFR-MNT-02**: Reported enterprise NDA breaches shall be automatically quarantined within $\le 60\text{s}$ and reviewed under a strict 4-hour SLA.</w:t>
      </w:r>
    </w:p>
    <w:p>
      <w:r>
        <w:t>---</w:t>
      </w:r>
    </w:p>
    <w:p>
      <w:pPr>
        <w:pStyle w:val="Heading1"/>
      </w:pPr>
      <w:r>
        <w:t>6. VERIFICATION MATRIX &amp; 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02C57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Feature / Use Case</w:t>
            </w:r>
          </w:p>
        </w:tc>
        <w:tc>
          <w:tcPr>
            <w:tcW w:type="dxa" w:w="2340"/>
            <w:shd w:val="clear" w:color="auto" w:fill="102C57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Applicable Quality Requirements</w:t>
            </w:r>
          </w:p>
        </w:tc>
        <w:tc>
          <w:tcPr>
            <w:tcW w:type="dxa" w:w="2340"/>
            <w:shd w:val="clear" w:color="auto" w:fill="102C57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Verification Method</w:t>
            </w:r>
          </w:p>
        </w:tc>
        <w:tc>
          <w:tcPr>
            <w:tcW w:type="dxa" w:w="2340"/>
            <w:shd w:val="clear" w:color="auto" w:fill="102C57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**UC-01 (Dual-Mode Feeds)**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`NFR-PERF-01`, `NFR-PERF-03`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Automated Telemetry &amp; Lighthouse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$P_{95}$ transition $\le 200\text{ms}$; video auto-downgrades to WebP on $&lt;1\text{ Mbps}$.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**UC-02 (Bento Grid Profile)**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`NFR-USA-01`, `NFR-SEC-01`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Usability Testing &amp; Pen-Test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Authority baseline visible in $\le 5\text{s}$; zero cross-tenant profile data leak.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**UC-03 (Topic Hubs Search)**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`NFR-PERF-02`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Load Testing (k6)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200-candidate vector search $\le 50\text{ms}$ at 100k corpus size.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**UC-04 (Bookmarks)**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`NFR-PERF-01`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Unit &amp; Integration Tests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Tap updates state in $\le 50\text{ms}$; dispatches $5\times$ telemetry weight to CAS engine.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**UC-05 (Creation Studio)**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`DC-03`, `NFR-USA-03`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Automated Form Testing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Character limit enforces hard block at 301 chars; split preview syncs in real time.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**UC-06 (Evidence Tagging)**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`NFR-SEC-02`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API Mock &amp; Security Audit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GitHub commit authenticated; redacted images permanently mask underlying bytes.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**UC-07 (Conversion Anchor)**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`DC-04`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Regex &amp; Security Scanner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Phone numbers/external payment URLs rejected; binds natively to calendar.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**UC-08 (Credential Verify)**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`NFR-SEC-02`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Gateway Integration Tests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IPRS/KRA validates in $\le 60\text{s}$; invalid license triggers provisional hold.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**UC-09 (Native Booking)**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`DC-04`, `NFR-USA-02`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Concurrency Testing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Slide-up modal completes in $\le 4$ taps; slot locked with 10-min Redis mutex.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**UC-10 (M-Pesa STK Push)**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`NFR-REL-02`, `NFR-REL-03`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Chaos &amp; Idempotency Testing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STK dispatched $\le 5\text{s}$; duplicate webhooks handled idempotently without error.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**UC-11 (Card Payments)**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`NFR-SEC-02`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PCI-DSS Compliance Scan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Live CBK FX conversion displayed; 3D-Secure 2.0 challenge required.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**UC-12 (Live Consultation)**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`NFR-SEC-03`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Packet Inspection &amp; WebRTC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DTLS-SRTP end-to-end encryption confirmed; 5-min overtime banner displays.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**UC-13 (Fund Escrow)**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`NFR-REL-01`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ACID Ledger Concurrency Test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Milestone locked in escrow ledger; zero balance drift across transactions.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**UC-14 (Deliverable Proof)**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`NFR-SEC-02`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Checksum Verification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Uploaded files stamped with SHA-256 hash and ISO timestamp in ledger.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**UC-15 (Approve &amp; Payout)**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`NFR-REL-01`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Automated Billing Audit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Funds unlock in $\le 5\text{s}$; 7-day auto-release executes if client is inactive.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**UC-16 (Escrow Dispute)**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`NFR-REL-01`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Integration Test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Dispute pauses all timers; 48-hour mutual evidence portal initializes.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**UC-17 (Calculate CAS)**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`NFR-MNT-01`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Mathematical Unit Test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40/30/15/15 formula evaluated deterministically; 180-day decay applied.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**UC-18 (Two-Pass Feed AI)**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`NFR-PERF-01`, `NFR-PERF-02`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Synthetic End-to-End Test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Pass 1 vector $\le 50\text{ms}$; Pass 2 heavy ranking delivers top 20 in $\le 200\text{ms}$.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**UC-19 (Phased Rollout)**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`NFR-MNT-01`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Deployment State Test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Phase transitions execute via config flags with zero schema migration downtime.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**UC-20 (Content Moderation)**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`NFR-MNT-02`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SLA Drill Testing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Spam quarantined; enterprise NDA reports hidden in $\le 60\text{s}$ with 4h review SLA.</w:t>
            </w:r>
          </w:p>
        </w:tc>
      </w:tr>
      <w:tr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**UC-21 (Adjudicate Dispute)**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`NFR-REL-01`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Simulation Audit</w:t>
            </w:r>
          </w:p>
        </w:tc>
        <w:tc>
          <w:tcPr>
            <w:tcW w:type="dxa" w:w="2340"/>
            <w:shd w:val="clear" w:color="auto" w:fill="F8F9FA"/>
          </w:tcPr>
          <w:p>
            <w:r>
              <w:rPr>
                <w:rFonts w:ascii="Calibri" w:hAnsi="Calibri"/>
                <w:sz w:val="19"/>
              </w:rPr>
              <w:t>Mediator executes binding split; contracts $&gt; \text{KES } 1\text{M}$ offer CIArb referral.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**UC-22 (Financial Tax Audit)**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`DC-02`, `NFR-REL-01`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Tax Gateway Validation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5-8% take rate journalized; KRA eTIMS QR invoice generated for all platform fees.</w:t>
            </w:r>
          </w:p>
        </w:tc>
      </w:tr>
    </w:tbl>
    <w:p/>
    <w:p>
      <w:r>
        <w:t>---</w:t>
      </w:r>
    </w:p>
    <w:p>
      <w:pPr>
        <w:pStyle w:val="Heading1"/>
      </w:pPr>
      <w:r>
        <w:t>7. DOCUMENT APPROVAL &amp; SIGN-OFF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C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55F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050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