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48AB" w14:textId="77777777" w:rsidR="004214D6" w:rsidRDefault="00000000">
      <w:pPr>
        <w:spacing w:after="60"/>
        <w:jc w:val="center"/>
      </w:pPr>
      <w:r>
        <w:rPr>
          <w:b/>
          <w:bCs/>
          <w:color w:val="1F3864"/>
          <w:sz w:val="20"/>
          <w:szCs w:val="20"/>
        </w:rPr>
        <w:t>UNIVERSIDAD INTERNACIONAL DE LA RIOJA (UNIR)</w:t>
      </w:r>
    </w:p>
    <w:p w14:paraId="3C66B691" w14:textId="77777777" w:rsidR="004214D6" w:rsidRDefault="00000000">
      <w:pPr>
        <w:spacing w:after="60"/>
        <w:jc w:val="center"/>
      </w:pPr>
      <w:r>
        <w:rPr>
          <w:color w:val="2E74B5"/>
          <w:sz w:val="20"/>
          <w:szCs w:val="20"/>
        </w:rPr>
        <w:t>Máster Universitario</w:t>
      </w:r>
    </w:p>
    <w:p w14:paraId="4B76A879" w14:textId="77777777" w:rsidR="004214D6" w:rsidRDefault="00000000">
      <w:pPr>
        <w:spacing w:after="300"/>
        <w:jc w:val="center"/>
      </w:pPr>
      <w:r>
        <w:rPr>
          <w:color w:val="2E74B5"/>
          <w:sz w:val="20"/>
          <w:szCs w:val="20"/>
        </w:rPr>
        <w:t>Análisis e Interpretación de Datos</w:t>
      </w:r>
    </w:p>
    <w:p w14:paraId="222A14F5" w14:textId="77777777" w:rsidR="004214D6" w:rsidRDefault="00000000">
      <w:pPr>
        <w:pBdr>
          <w:bottom w:val="single" w:sz="12" w:space="1" w:color="2E74B5"/>
        </w:pBdr>
        <w:spacing w:after="80"/>
        <w:jc w:val="center"/>
      </w:pPr>
      <w:r>
        <w:rPr>
          <w:b/>
          <w:bCs/>
          <w:color w:val="1F3864"/>
          <w:sz w:val="36"/>
          <w:szCs w:val="36"/>
        </w:rPr>
        <w:t>Análisis Estadístico de la Epidemia de Dengue en América (2014–2024):</w:t>
      </w:r>
    </w:p>
    <w:p w14:paraId="4372BD2A" w14:textId="77777777" w:rsidR="004214D6" w:rsidRDefault="00000000">
      <w:pPr>
        <w:spacing w:after="300"/>
        <w:jc w:val="center"/>
      </w:pPr>
      <w:r>
        <w:rPr>
          <w:b/>
          <w:bCs/>
          <w:color w:val="2E74B5"/>
          <w:sz w:val="28"/>
          <w:szCs w:val="28"/>
        </w:rPr>
        <w:t>Modelos de Regresión Lineal y Correlación de Spearman</w:t>
      </w:r>
    </w:p>
    <w:p w14:paraId="23CFDD02" w14:textId="77777777" w:rsidR="004214D6" w:rsidRDefault="00000000">
      <w:pPr>
        <w:spacing w:after="240"/>
        <w:jc w:val="center"/>
      </w:pPr>
      <w:r>
        <w:rPr>
          <w:color w:val="555555"/>
          <w:sz w:val="20"/>
          <w:szCs w:val="20"/>
        </w:rPr>
        <w:t>Actividad grupal — Definición de un problema estadístico: modelización y propuesta de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214D6" w14:paraId="7D2D226F"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785E6D04" w14:textId="77777777" w:rsidR="004214D6" w:rsidRDefault="00000000">
            <w:r>
              <w:rPr>
                <w:b/>
                <w:bCs/>
                <w:color w:val="1F3864"/>
                <w:sz w:val="20"/>
                <w:szCs w:val="20"/>
              </w:rPr>
              <w:t>Integrante 1</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598923BE" w14:textId="51FA716B" w:rsidR="004214D6" w:rsidRPr="00F80F8D" w:rsidRDefault="00F80F8D">
            <w:pPr>
              <w:rPr>
                <w:lang w:val="en-US"/>
              </w:rPr>
            </w:pPr>
            <w:r>
              <w:rPr>
                <w:sz w:val="20"/>
                <w:szCs w:val="20"/>
              </w:rPr>
              <w:t>Alberto Chablé</w:t>
            </w:r>
          </w:p>
        </w:tc>
      </w:tr>
      <w:tr w:rsidR="004214D6" w14:paraId="2EB6972B"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478F0A8A" w14:textId="77777777" w:rsidR="004214D6" w:rsidRDefault="00000000">
            <w:r>
              <w:rPr>
                <w:b/>
                <w:bCs/>
                <w:color w:val="1F3864"/>
                <w:sz w:val="20"/>
                <w:szCs w:val="20"/>
              </w:rPr>
              <w:t>Integrante 2</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559420AE" w14:textId="388570E2" w:rsidR="004214D6" w:rsidRDefault="00F80F8D">
            <w:r>
              <w:rPr>
                <w:sz w:val="20"/>
                <w:szCs w:val="20"/>
              </w:rPr>
              <w:t>Susana Lira</w:t>
            </w:r>
          </w:p>
        </w:tc>
      </w:tr>
      <w:tr w:rsidR="004214D6" w14:paraId="78E57039"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2DD20BF0" w14:textId="77777777" w:rsidR="004214D6" w:rsidRDefault="00000000">
            <w:r>
              <w:rPr>
                <w:b/>
                <w:bCs/>
                <w:color w:val="1F3864"/>
                <w:sz w:val="20"/>
                <w:szCs w:val="20"/>
              </w:rPr>
              <w:t>Integrante 3</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6E20BC51" w14:textId="77099486" w:rsidR="004214D6" w:rsidRDefault="00F80F8D">
            <w:r>
              <w:rPr>
                <w:sz w:val="20"/>
                <w:szCs w:val="20"/>
              </w:rPr>
              <w:t>Jafeth Leyva</w:t>
            </w:r>
          </w:p>
        </w:tc>
      </w:tr>
      <w:tr w:rsidR="004214D6" w14:paraId="083CFD22"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150F4434" w14:textId="77777777" w:rsidR="004214D6" w:rsidRDefault="00000000">
            <w:r>
              <w:rPr>
                <w:b/>
                <w:bCs/>
                <w:color w:val="1F3864"/>
                <w:sz w:val="20"/>
                <w:szCs w:val="20"/>
              </w:rPr>
              <w:t>Integrante 4</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05B83E5C" w14:textId="7BB7673A" w:rsidR="004214D6" w:rsidRDefault="00F80F8D">
            <w:r>
              <w:rPr>
                <w:sz w:val="20"/>
                <w:szCs w:val="20"/>
              </w:rPr>
              <w:t>Luis Vega</w:t>
            </w:r>
          </w:p>
        </w:tc>
      </w:tr>
      <w:tr w:rsidR="004214D6" w14:paraId="573FDA7A"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26C7AD30" w14:textId="2ECFD30A" w:rsidR="004214D6" w:rsidRDefault="00F80F8D">
            <w:r>
              <w:rPr>
                <w:b/>
                <w:bCs/>
                <w:color w:val="1F3864"/>
                <w:sz w:val="20"/>
                <w:szCs w:val="20"/>
              </w:rPr>
              <w:t xml:space="preserve">Integrante </w:t>
            </w:r>
            <w:r>
              <w:rPr>
                <w:b/>
                <w:bCs/>
                <w:color w:val="1F3864"/>
                <w:sz w:val="20"/>
                <w:szCs w:val="20"/>
              </w:rPr>
              <w:t>5</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554BC7E1" w14:textId="7CF46B2C" w:rsidR="004214D6" w:rsidRDefault="00F80F8D">
            <w:r>
              <w:rPr>
                <w:sz w:val="20"/>
                <w:szCs w:val="20"/>
              </w:rPr>
              <w:t>Vladimir Payano</w:t>
            </w:r>
          </w:p>
        </w:tc>
      </w:tr>
      <w:tr w:rsidR="00F80F8D" w14:paraId="315E047F"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7E4AB3DE" w14:textId="6122E6B4" w:rsidR="00F80F8D" w:rsidRDefault="00F80F8D" w:rsidP="00F80F8D">
            <w:pPr>
              <w:rPr>
                <w:b/>
                <w:bCs/>
                <w:color w:val="1F3864"/>
                <w:sz w:val="20"/>
                <w:szCs w:val="20"/>
              </w:rPr>
            </w:pPr>
            <w:r>
              <w:rPr>
                <w:b/>
                <w:bCs/>
                <w:color w:val="1F3864"/>
                <w:sz w:val="20"/>
                <w:szCs w:val="20"/>
              </w:rPr>
              <w:t>Organizador/Líder</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12E33467" w14:textId="2833B2FA" w:rsidR="00F80F8D" w:rsidRDefault="00F80F8D" w:rsidP="00F80F8D">
            <w:pPr>
              <w:rPr>
                <w:sz w:val="20"/>
                <w:szCs w:val="20"/>
              </w:rPr>
            </w:pPr>
            <w:r>
              <w:rPr>
                <w:sz w:val="20"/>
                <w:szCs w:val="20"/>
              </w:rPr>
              <w:t>Alberto Chablé</w:t>
            </w:r>
          </w:p>
        </w:tc>
      </w:tr>
      <w:tr w:rsidR="00F80F8D" w14:paraId="506364D0"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D6E4F0"/>
            <w:tcMar>
              <w:top w:w="80" w:type="dxa"/>
              <w:left w:w="120" w:type="dxa"/>
              <w:bottom w:w="80" w:type="dxa"/>
              <w:right w:w="120" w:type="dxa"/>
            </w:tcMar>
          </w:tcPr>
          <w:p w14:paraId="47AD6F0F" w14:textId="77777777" w:rsidR="00F80F8D" w:rsidRDefault="00F80F8D" w:rsidP="00F80F8D">
            <w:r>
              <w:rPr>
                <w:b/>
                <w:bCs/>
                <w:color w:val="1F3864"/>
                <w:sz w:val="20"/>
                <w:szCs w:val="20"/>
              </w:rPr>
              <w:t>Responsabilidades</w:t>
            </w:r>
          </w:p>
        </w:tc>
        <w:tc>
          <w:tcPr>
            <w:tcW w:w="636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5725C920" w14:textId="57AF3F22" w:rsidR="00F80F8D" w:rsidRPr="00F80F8D" w:rsidRDefault="00F80F8D" w:rsidP="00F80F8D">
            <w:pPr>
              <w:rPr>
                <w:sz w:val="20"/>
                <w:szCs w:val="20"/>
              </w:rPr>
            </w:pPr>
            <w:r w:rsidRPr="00F80F8D">
              <w:rPr>
                <w:sz w:val="20"/>
                <w:szCs w:val="20"/>
              </w:rPr>
              <w:t>Alberto</w:t>
            </w:r>
            <w:r w:rsidRPr="00F80F8D">
              <w:rPr>
                <w:sz w:val="20"/>
                <w:szCs w:val="20"/>
              </w:rPr>
              <w:t>:</w:t>
            </w:r>
            <w:r>
              <w:rPr>
                <w:sz w:val="20"/>
                <w:szCs w:val="20"/>
              </w:rPr>
              <w:t xml:space="preserve"> </w:t>
            </w:r>
            <w:proofErr w:type="spellStart"/>
            <w:r>
              <w:rPr>
                <w:sz w:val="20"/>
                <w:szCs w:val="20"/>
              </w:rPr>
              <w:t>Distrbucion</w:t>
            </w:r>
            <w:proofErr w:type="spellEnd"/>
            <w:r>
              <w:rPr>
                <w:sz w:val="20"/>
                <w:szCs w:val="20"/>
              </w:rPr>
              <w:t xml:space="preserve"> de actividades liderazgo del grupo.</w:t>
            </w:r>
          </w:p>
          <w:p w14:paraId="1E90265C" w14:textId="04406E1A" w:rsidR="00F80F8D" w:rsidRPr="00F80F8D" w:rsidRDefault="00F80F8D" w:rsidP="00F80F8D">
            <w:pPr>
              <w:rPr>
                <w:sz w:val="20"/>
                <w:szCs w:val="20"/>
              </w:rPr>
            </w:pPr>
            <w:r w:rsidRPr="00F80F8D">
              <w:rPr>
                <w:sz w:val="20"/>
                <w:szCs w:val="20"/>
              </w:rPr>
              <w:t>Susana</w:t>
            </w:r>
            <w:r w:rsidRPr="00F80F8D">
              <w:rPr>
                <w:sz w:val="20"/>
                <w:szCs w:val="20"/>
              </w:rPr>
              <w:t>:</w:t>
            </w:r>
            <w:r>
              <w:rPr>
                <w:sz w:val="20"/>
                <w:szCs w:val="20"/>
              </w:rPr>
              <w:t xml:space="preserve"> Continuación del EDA y definición de estudios a realizar.</w:t>
            </w:r>
          </w:p>
          <w:p w14:paraId="58302C45" w14:textId="36CC828F" w:rsidR="00F80F8D" w:rsidRPr="00F80F8D" w:rsidRDefault="00F80F8D" w:rsidP="00F80F8D">
            <w:pPr>
              <w:rPr>
                <w:sz w:val="20"/>
                <w:szCs w:val="20"/>
              </w:rPr>
            </w:pPr>
            <w:r w:rsidRPr="00F80F8D">
              <w:rPr>
                <w:sz w:val="20"/>
                <w:szCs w:val="20"/>
              </w:rPr>
              <w:t>Jafeth</w:t>
            </w:r>
            <w:r w:rsidRPr="00F80F8D">
              <w:rPr>
                <w:sz w:val="20"/>
                <w:szCs w:val="20"/>
              </w:rPr>
              <w:t>:</w:t>
            </w:r>
            <w:r>
              <w:rPr>
                <w:sz w:val="20"/>
                <w:szCs w:val="20"/>
              </w:rPr>
              <w:t xml:space="preserve"> Creación del EDA Inicial.</w:t>
            </w:r>
          </w:p>
          <w:p w14:paraId="2B46A2F5" w14:textId="33153DB6" w:rsidR="00F80F8D" w:rsidRPr="00F80F8D" w:rsidRDefault="00F80F8D" w:rsidP="00F80F8D">
            <w:pPr>
              <w:tabs>
                <w:tab w:val="left" w:pos="1350"/>
              </w:tabs>
              <w:rPr>
                <w:sz w:val="20"/>
                <w:szCs w:val="20"/>
              </w:rPr>
            </w:pPr>
            <w:r w:rsidRPr="00F80F8D">
              <w:rPr>
                <w:sz w:val="20"/>
                <w:szCs w:val="20"/>
              </w:rPr>
              <w:t>Luis</w:t>
            </w:r>
            <w:r w:rsidRPr="00F80F8D">
              <w:rPr>
                <w:sz w:val="20"/>
                <w:szCs w:val="20"/>
              </w:rPr>
              <w:t>:</w:t>
            </w:r>
            <w:r>
              <w:rPr>
                <w:sz w:val="20"/>
                <w:szCs w:val="20"/>
              </w:rPr>
              <w:t xml:space="preserve"> Validación del EDA.</w:t>
            </w:r>
            <w:r w:rsidRPr="00F80F8D">
              <w:rPr>
                <w:sz w:val="20"/>
                <w:szCs w:val="20"/>
              </w:rPr>
              <w:tab/>
            </w:r>
          </w:p>
          <w:p w14:paraId="638A6C23" w14:textId="6FE15333" w:rsidR="00F80F8D" w:rsidRPr="00F80F8D" w:rsidRDefault="00F80F8D" w:rsidP="00F80F8D">
            <w:pPr>
              <w:rPr>
                <w:sz w:val="20"/>
                <w:szCs w:val="20"/>
              </w:rPr>
            </w:pPr>
            <w:r w:rsidRPr="00F80F8D">
              <w:rPr>
                <w:sz w:val="20"/>
                <w:szCs w:val="20"/>
              </w:rPr>
              <w:t>Vladimir:</w:t>
            </w:r>
            <w:r>
              <w:rPr>
                <w:sz w:val="20"/>
                <w:szCs w:val="20"/>
              </w:rPr>
              <w:t xml:space="preserve"> Unificación y redacción del artículo</w:t>
            </w:r>
          </w:p>
        </w:tc>
      </w:tr>
    </w:tbl>
    <w:p w14:paraId="101F6133" w14:textId="77777777" w:rsidR="004214D6" w:rsidRDefault="004214D6">
      <w:pPr>
        <w:spacing w:after="200"/>
      </w:pPr>
    </w:p>
    <w:p w14:paraId="1EE088A4" w14:textId="42514AAD" w:rsidR="004214D6" w:rsidRDefault="00000000">
      <w:pPr>
        <w:spacing w:after="80"/>
        <w:jc w:val="center"/>
      </w:pPr>
      <w:r>
        <w:rPr>
          <w:sz w:val="20"/>
          <w:szCs w:val="20"/>
        </w:rPr>
        <w:t xml:space="preserve">Fecha de entrega: </w:t>
      </w:r>
      <w:r w:rsidR="00F80F8D">
        <w:rPr>
          <w:sz w:val="20"/>
          <w:szCs w:val="20"/>
        </w:rPr>
        <w:t>25/May/2026</w:t>
      </w:r>
    </w:p>
    <w:p w14:paraId="26E6CE60" w14:textId="77777777" w:rsidR="004214D6" w:rsidRDefault="00000000">
      <w:pPr>
        <w:spacing w:after="80"/>
        <w:jc w:val="center"/>
      </w:pPr>
      <w:r>
        <w:rPr>
          <w:sz w:val="20"/>
          <w:szCs w:val="20"/>
        </w:rPr>
        <w:t>Asignatura: Análisis e Interpretación de Datos</w:t>
      </w:r>
    </w:p>
    <w:p w14:paraId="7F8807B2" w14:textId="77777777" w:rsidR="004214D6" w:rsidRDefault="00000000">
      <w:pPr>
        <w:spacing w:after="480"/>
        <w:jc w:val="center"/>
      </w:pPr>
      <w:r>
        <w:rPr>
          <w:sz w:val="20"/>
          <w:szCs w:val="20"/>
        </w:rPr>
        <w:t>Afiliación: Universidad Internacional de La Rioja (UNIR)</w:t>
      </w:r>
    </w:p>
    <w:p w14:paraId="209C3B2A" w14:textId="77777777" w:rsidR="004214D6" w:rsidRDefault="00000000">
      <w:r>
        <w:br w:type="page"/>
      </w:r>
    </w:p>
    <w:p w14:paraId="783DF5BF" w14:textId="04D70920" w:rsidR="004214D6" w:rsidRDefault="00000000" w:rsidP="001B6648">
      <w:pPr>
        <w:spacing w:after="100"/>
        <w:jc w:val="center"/>
      </w:pPr>
      <w:r>
        <w:rPr>
          <w:b/>
          <w:bCs/>
          <w:color w:val="1F3864"/>
          <w:sz w:val="30"/>
          <w:szCs w:val="30"/>
        </w:rPr>
        <w:lastRenderedPageBreak/>
        <w:t>Análisis Estadístico de la Epidemia de Dengue en América (2014–2024): Regresión Lineal y Correlación de Spearman</w:t>
      </w:r>
    </w:p>
    <w:p w14:paraId="7C099160" w14:textId="3C0BFD0C" w:rsidR="004214D6" w:rsidRDefault="00000000">
      <w:pPr>
        <w:pBdr>
          <w:left w:val="single" w:sz="12" w:space="8" w:color="2E74B5"/>
        </w:pBdr>
        <w:spacing w:after="80"/>
        <w:ind w:left="360"/>
      </w:pPr>
      <w:r>
        <w:rPr>
          <w:b/>
          <w:bCs/>
          <w:color w:val="1F3864"/>
          <w:sz w:val="20"/>
          <w:szCs w:val="20"/>
        </w:rPr>
        <w:t xml:space="preserve">Resumen. </w:t>
      </w:r>
      <w:r>
        <w:rPr>
          <w:sz w:val="20"/>
          <w:szCs w:val="20"/>
        </w:rPr>
        <w:t xml:space="preserve">El dengue representa una de las principales emergencias de salud pública en América Latina. Este trabajo analiza la relación entre la tasa de incidencia y las muertes reportadas por dengue en los países y consolidados regionales de las Américas durante el período 2014–2024, utilizando datos de la Organización Panamericana de la Salud (OPS). Se aplican dos modelos estadísticos: regresión lineal simple (incluyendo una variante con transformación logarítmica) y correlación de Spearman como enfoque no paramétrico. Los resultados muestran una asociación positiva entre incidencia y mortalidad, más pronunciada a nivel de consolidados regionales que a nivel país. Ambos modelos coinciden en la dirección de la </w:t>
      </w:r>
      <w:r w:rsidR="001B6648">
        <w:rPr>
          <w:sz w:val="20"/>
          <w:szCs w:val="20"/>
        </w:rPr>
        <w:t>asociación,</w:t>
      </w:r>
      <w:r>
        <w:rPr>
          <w:sz w:val="20"/>
          <w:szCs w:val="20"/>
        </w:rPr>
        <w:t xml:space="preserve"> pero difieren en su capacidad explicativa y supuestos, lo que evidencia la importancia de contrastar enfoques en datos epidemiológicos con alta asimetría y valores extremos.</w:t>
      </w:r>
    </w:p>
    <w:p w14:paraId="161B0CC9" w14:textId="77777777" w:rsidR="004214D6" w:rsidRDefault="004214D6">
      <w:pPr>
        <w:spacing w:after="120"/>
      </w:pPr>
    </w:p>
    <w:p w14:paraId="26C626B4" w14:textId="77777777" w:rsidR="004214D6" w:rsidRDefault="00000000">
      <w:pPr>
        <w:pStyle w:val="Heading1"/>
      </w:pPr>
      <w:r>
        <w:t>I. Introducción y Estado del Tema</w:t>
      </w:r>
    </w:p>
    <w:p w14:paraId="1AC79D43" w14:textId="77777777" w:rsidR="004214D6" w:rsidRDefault="00000000">
      <w:pPr>
        <w:pStyle w:val="Heading2"/>
      </w:pPr>
      <w:r>
        <w:t>1.1 Justificación y actualidad del problema</w:t>
      </w:r>
    </w:p>
    <w:p w14:paraId="76E8CCF5" w14:textId="5E79C67B" w:rsidR="004214D6" w:rsidRDefault="00000000">
      <w:pPr>
        <w:spacing w:after="160"/>
        <w:jc w:val="both"/>
      </w:pPr>
      <w:r>
        <w:t xml:space="preserve">El dengue es una enfermedad infecciosa transmitida por el mosquito Aedes </w:t>
      </w:r>
      <w:r w:rsidR="001B6648">
        <w:t>A</w:t>
      </w:r>
      <w:r>
        <w:t>egypti y representa uno de los problemas de salud pública más relevantes en la región de las Américas. Según la Organización Panamericana de la Salud (OPS), el año 2024 registró la mayor cifra histórica de casos de dengue en el continente americano, con más de 12 millones de casos confirmados y más de 6.000 muertes reportadas, superando todos los registros previos. Esta situación confiere al problema una innegable actualidad y justifica su estudio estadístico riguroso como herramienta para comprender su dinámica y orientar decisiones de salud pública.</w:t>
      </w:r>
    </w:p>
    <w:p w14:paraId="5C0BC6FE" w14:textId="77777777" w:rsidR="004214D6" w:rsidRDefault="00000000">
      <w:pPr>
        <w:spacing w:after="160"/>
        <w:jc w:val="both"/>
      </w:pPr>
      <w:r>
        <w:t>La expansión geográfica del vector, combinada con el cambio climático, la urbanización acelerada y las deficiencias en los sistemas de vigilancia epidemiológica, ha convertido al dengue en un fenómeno de creciente complejidad. Países como Brasil han experimentado incrementos exponenciales en su incidencia, concentrando una proporción mayoritaria de los casos y muertes registradas en toda la región.</w:t>
      </w:r>
    </w:p>
    <w:p w14:paraId="4ADDDF01" w14:textId="77777777" w:rsidR="004214D6" w:rsidRDefault="00000000">
      <w:pPr>
        <w:pStyle w:val="Heading2"/>
      </w:pPr>
      <w:r>
        <w:t>1.2 Pregunta de investigación y objetivos</w:t>
      </w:r>
    </w:p>
    <w:p w14:paraId="3CC1164F" w14:textId="4DD0F48E" w:rsidR="004214D6" w:rsidRDefault="00000000">
      <w:pPr>
        <w:spacing w:after="160"/>
        <w:jc w:val="both"/>
      </w:pPr>
      <w:r>
        <w:t>Este trabajo se propone responder la</w:t>
      </w:r>
      <w:r w:rsidR="001B6648">
        <w:t>s</w:t>
      </w:r>
      <w:r>
        <w:t xml:space="preserve"> siguiente</w:t>
      </w:r>
      <w:r w:rsidR="001B6648">
        <w:t>s</w:t>
      </w:r>
      <w:r>
        <w:t xml:space="preserve"> pregunta</w:t>
      </w:r>
      <w:r w:rsidR="001B6648">
        <w:t>s</w:t>
      </w:r>
      <w:r>
        <w:t>: ¿</w:t>
      </w:r>
      <w:r w:rsidR="001B6648">
        <w:t>E</w:t>
      </w:r>
      <w:r>
        <w:t>xiste una asociación estadísticamente significativa entre la tasa de incidencia del dengue y el número de muertes reportadas en las Américas durante el período 2014–2024? ¿Difieren las conclusiones según el modelo estadístico empleado y el nivel geográfico de análisis?</w:t>
      </w:r>
    </w:p>
    <w:p w14:paraId="5681B295" w14:textId="77777777" w:rsidR="004214D6" w:rsidRDefault="00000000">
      <w:pPr>
        <w:spacing w:after="160"/>
        <w:jc w:val="both"/>
      </w:pPr>
      <w:r>
        <w:t>Los objetivos específicos son:</w:t>
      </w:r>
    </w:p>
    <w:p w14:paraId="48ACEED2" w14:textId="77777777" w:rsidR="004214D6" w:rsidRDefault="00000000">
      <w:pPr>
        <w:pStyle w:val="ListParagraph"/>
        <w:numPr>
          <w:ilvl w:val="0"/>
          <w:numId w:val="2"/>
        </w:numPr>
        <w:spacing w:after="80"/>
      </w:pPr>
      <w:r>
        <w:t>Describir la distribución temporal y geográfica de los casos confirmados, la incidencia y la mortalidad por dengue en la región.</w:t>
      </w:r>
    </w:p>
    <w:p w14:paraId="2D52CF53" w14:textId="77777777" w:rsidR="004214D6" w:rsidRDefault="00000000">
      <w:pPr>
        <w:pStyle w:val="ListParagraph"/>
        <w:numPr>
          <w:ilvl w:val="0"/>
          <w:numId w:val="2"/>
        </w:numPr>
        <w:spacing w:after="80"/>
      </w:pPr>
      <w:r>
        <w:t>Ajustar un modelo de regresión lineal simple entre la tasa de incidencia y las muertes reportadas, con diagnóstico de sus supuestos.</w:t>
      </w:r>
    </w:p>
    <w:p w14:paraId="5CE85F3E" w14:textId="77777777" w:rsidR="004214D6" w:rsidRDefault="00000000">
      <w:pPr>
        <w:pStyle w:val="ListParagraph"/>
        <w:numPr>
          <w:ilvl w:val="0"/>
          <w:numId w:val="2"/>
        </w:numPr>
        <w:spacing w:after="80"/>
      </w:pPr>
      <w:r>
        <w:t>Aplicar la correlación de Spearman como modelo no paramétrico alternativo, y comparar sus resultados con los del enfoque paramétrico.</w:t>
      </w:r>
    </w:p>
    <w:p w14:paraId="599AC149" w14:textId="77777777" w:rsidR="004214D6" w:rsidRDefault="00000000">
      <w:pPr>
        <w:pStyle w:val="ListParagraph"/>
        <w:numPr>
          <w:ilvl w:val="0"/>
          <w:numId w:val="2"/>
        </w:numPr>
        <w:spacing w:after="80"/>
      </w:pPr>
      <w:r>
        <w:t>Analizar las discrepancias entre ambos enfoques e identificar las limitaciones de cada modelo.</w:t>
      </w:r>
    </w:p>
    <w:p w14:paraId="20F5FFB6" w14:textId="77777777" w:rsidR="004214D6" w:rsidRDefault="004214D6">
      <w:pPr>
        <w:spacing w:after="80"/>
      </w:pPr>
    </w:p>
    <w:p w14:paraId="185FBC11" w14:textId="77777777" w:rsidR="004214D6" w:rsidRDefault="00000000">
      <w:pPr>
        <w:pStyle w:val="Heading2"/>
      </w:pPr>
      <w:r>
        <w:t>1.3 Fuente de datos</w:t>
      </w:r>
    </w:p>
    <w:p w14:paraId="2BBE8E93" w14:textId="41B44A1D" w:rsidR="004214D6" w:rsidRDefault="00000000">
      <w:pPr>
        <w:spacing w:after="160"/>
        <w:jc w:val="both"/>
      </w:pPr>
      <w:r>
        <w:t xml:space="preserve">Los datos empleados corresponden a la base de datos de vigilancia epidemiológica del dengue de la OPS, disponible públicamente y actualizada a 2024. La base incluye registros de casos confirmados, muertes reportadas, dengue grave y tasas de incidencia para países, territorios y consolidados regionales de las Américas desde el año 2014. Para el presente análisis se utilizó la versión alojada en el repositorio del equipo (GitHub: </w:t>
      </w:r>
      <w:proofErr w:type="spellStart"/>
      <w:r>
        <w:t>Merenguimona</w:t>
      </w:r>
      <w:proofErr w:type="spellEnd"/>
      <w:r>
        <w:t xml:space="preserve">/act2_Adatos), que contiene </w:t>
      </w:r>
      <w:r w:rsidR="001B6648">
        <w:t>762</w:t>
      </w:r>
      <w:r>
        <w:t xml:space="preserve"> registros tras la depuración inicial.</w:t>
      </w:r>
    </w:p>
    <w:p w14:paraId="4870724C" w14:textId="77777777" w:rsidR="004214D6" w:rsidRDefault="00000000">
      <w:pPr>
        <w:pStyle w:val="Heading1"/>
      </w:pPr>
      <w:r>
        <w:lastRenderedPageBreak/>
        <w:t>II. Metodología y Resultados Obtenidos</w:t>
      </w:r>
    </w:p>
    <w:p w14:paraId="1CDD9FBC" w14:textId="77777777" w:rsidR="004214D6" w:rsidRDefault="00000000">
      <w:pPr>
        <w:pStyle w:val="Heading2"/>
      </w:pPr>
      <w:r>
        <w:t>2.1 Preparación y exploración de los datos</w:t>
      </w:r>
    </w:p>
    <w:p w14:paraId="7D45A5C4" w14:textId="77777777" w:rsidR="004214D6" w:rsidRDefault="00000000">
      <w:pPr>
        <w:spacing w:after="160"/>
        <w:jc w:val="both"/>
      </w:pPr>
      <w:r>
        <w:t xml:space="preserve">El procesamiento se realizó íntegramente en R, utilizando los paquetes </w:t>
      </w:r>
      <w:proofErr w:type="spellStart"/>
      <w:r>
        <w:t>tidyverse</w:t>
      </w:r>
      <w:proofErr w:type="spellEnd"/>
      <w:r>
        <w:t xml:space="preserve">, </w:t>
      </w:r>
      <w:proofErr w:type="spellStart"/>
      <w:r>
        <w:t>janitor</w:t>
      </w:r>
      <w:proofErr w:type="spellEnd"/>
      <w:r>
        <w:t xml:space="preserve">, </w:t>
      </w:r>
      <w:proofErr w:type="spellStart"/>
      <w:r>
        <w:t>skimr</w:t>
      </w:r>
      <w:proofErr w:type="spellEnd"/>
      <w:r>
        <w:t xml:space="preserve">, </w:t>
      </w:r>
      <w:proofErr w:type="spellStart"/>
      <w:r>
        <w:t>lmtest</w:t>
      </w:r>
      <w:proofErr w:type="spellEnd"/>
      <w:r>
        <w:t xml:space="preserve">, car y </w:t>
      </w:r>
      <w:proofErr w:type="spellStart"/>
      <w:r>
        <w:t>GGally</w:t>
      </w:r>
      <w:proofErr w:type="spellEnd"/>
      <w:r>
        <w:t xml:space="preserve">. Los nombres de las variables se normalizaron con </w:t>
      </w:r>
      <w:proofErr w:type="spellStart"/>
      <w:proofErr w:type="gramStart"/>
      <w:r>
        <w:t>janitor</w:t>
      </w:r>
      <w:proofErr w:type="spellEnd"/>
      <w:r>
        <w:t>::</w:t>
      </w:r>
      <w:proofErr w:type="spellStart"/>
      <w:proofErr w:type="gramEnd"/>
      <w:r>
        <w:t>clean_</w:t>
      </w:r>
      <w:proofErr w:type="gramStart"/>
      <w:r>
        <w:t>names</w:t>
      </w:r>
      <w:proofErr w:type="spellEnd"/>
      <w:r>
        <w:t>(</w:t>
      </w:r>
      <w:proofErr w:type="gramEnd"/>
      <w:r>
        <w:t xml:space="preserve">). Se aplicó una conversión explícita con </w:t>
      </w:r>
      <w:proofErr w:type="spellStart"/>
      <w:r>
        <w:t>parse_</w:t>
      </w:r>
      <w:proofErr w:type="gramStart"/>
      <w:r>
        <w:t>number</w:t>
      </w:r>
      <w:proofErr w:type="spellEnd"/>
      <w:r>
        <w:t>(</w:t>
      </w:r>
      <w:proofErr w:type="gramEnd"/>
      <w:r>
        <w:t xml:space="preserve">) a las columnas </w:t>
      </w:r>
      <w:proofErr w:type="spellStart"/>
      <w:r>
        <w:t>incidence_rate_c</w:t>
      </w:r>
      <w:proofErr w:type="spellEnd"/>
      <w:r>
        <w:t xml:space="preserve"> y </w:t>
      </w:r>
      <w:proofErr w:type="spellStart"/>
      <w:r>
        <w:t>lab_confirm_incidence_rate</w:t>
      </w:r>
      <w:proofErr w:type="spellEnd"/>
      <w:r>
        <w:t>, eliminando los registros con valores faltantes en las variables de interés (</w:t>
      </w:r>
      <w:proofErr w:type="spellStart"/>
      <w:r>
        <w:t>deaths</w:t>
      </w:r>
      <w:proofErr w:type="spellEnd"/>
      <w:r>
        <w:t xml:space="preserve"> e </w:t>
      </w:r>
      <w:proofErr w:type="spellStart"/>
      <w:r>
        <w:t>incidence_rate_c</w:t>
      </w:r>
      <w:proofErr w:type="spellEnd"/>
      <w:r>
        <w:t>), lo que resultó en [N final] registros válidos.</w:t>
      </w:r>
    </w:p>
    <w:p w14:paraId="73F5526D" w14:textId="77777777" w:rsidR="004214D6" w:rsidRDefault="00000000">
      <w:pPr>
        <w:spacing w:after="160"/>
        <w:jc w:val="both"/>
      </w:pPr>
      <w:r>
        <w:t xml:space="preserve">Un aspecto clave del análisis fue la identificación de dos tipos de registros en la base: países o territorios individuales, y consolidados regionales (como 'Las Américas', 'Cono Sur', 'Subregión Andina', entre otros). Para distinguirlos, se creó la variable </w:t>
      </w:r>
      <w:proofErr w:type="spellStart"/>
      <w:r>
        <w:t>tipo_registro</w:t>
      </w:r>
      <w:proofErr w:type="spellEnd"/>
      <w:r>
        <w:t>, que permitió realizar análisis diferenciados por nivel geográfico. Los consolidados regionales presentan valores naturalmente superiores a los países, por lo que combinarlos sin distinción distorsionaría el análisis.</w:t>
      </w:r>
    </w:p>
    <w:p w14:paraId="2568141D" w14:textId="77777777" w:rsidR="004214D6" w:rsidRDefault="00000000">
      <w:pPr>
        <w:spacing w:after="160"/>
        <w:jc w:val="both"/>
      </w:pPr>
      <w:r>
        <w:t>La exploración descriptiva reveló que ambas variables de estudio (tasa de incidencia y muertes reportadas) presentan distribuciones fuertemente asimétricas hacia la derecha, con valores extremos concentrados principalmente en Brasil (a nivel país) y en el consolidado del Cono Sur (a nivel regional). El rango temporal de la base cubre de 2014 a 2024, con [N países] países y territorios distintos identificados.</w:t>
      </w:r>
    </w:p>
    <w:p w14:paraId="24D86165" w14:textId="77777777" w:rsidR="004214D6" w:rsidRDefault="00000000">
      <w:pPr>
        <w:pStyle w:val="Heading2"/>
      </w:pPr>
      <w:r>
        <w:t>2.2 Análisis exploratorio visual</w:t>
      </w:r>
    </w:p>
    <w:p w14:paraId="1C1D36C3" w14:textId="77777777" w:rsidR="004214D6" w:rsidRDefault="00000000">
      <w:pPr>
        <w:spacing w:after="160"/>
        <w:jc w:val="both"/>
      </w:pPr>
      <w:r>
        <w:t xml:space="preserve">Se construyeron histogramas de muertes reportadas y tasa de incidencia para los consolidados regionales, confirmando la asimetría positiva de ambas distribuciones. Los </w:t>
      </w:r>
      <w:proofErr w:type="spellStart"/>
      <w:r>
        <w:t>boxplots</w:t>
      </w:r>
      <w:proofErr w:type="spellEnd"/>
      <w:r>
        <w:t xml:space="preserve"> por consolidado regional mostraron que el Cono Sur presenta la mayor distribución de muertes y la tasa de incidencia más alta de todo el continente americano, con una dispersión superior al resto de regiones. El gráfico de tendencia temporal de casos confirmados mostró una trayectoria ascendente desde 2014, con un pico pronunciado en 2024.</w:t>
      </w:r>
    </w:p>
    <w:p w14:paraId="27CA8CDD" w14:textId="77777777" w:rsidR="004214D6" w:rsidRDefault="00000000">
      <w:pPr>
        <w:spacing w:after="160"/>
        <w:jc w:val="both"/>
      </w:pPr>
      <w:r>
        <w:t>El análisis visual de dispersión entre incidencia y muertes, realizado con la base completa, evidenció alta dispersión atribuible a la mezcla de niveles geográficos. Al restringir el análisis a los consolidados regionales, la tendencia positiva entre ambas variables se aprecia con mayor claridad, aunque con presencia de valores extremos que condicionan la pendiente de la recta.</w:t>
      </w:r>
    </w:p>
    <w:p w14:paraId="208AD2B4" w14:textId="77777777" w:rsidR="004214D6" w:rsidRDefault="00000000">
      <w:pPr>
        <w:pStyle w:val="Heading2"/>
      </w:pPr>
      <w:r>
        <w:t>2.3 Modelo 1: Regresión lineal simple</w:t>
      </w:r>
    </w:p>
    <w:p w14:paraId="08C203C2" w14:textId="77777777" w:rsidR="004214D6" w:rsidRDefault="00000000">
      <w:pPr>
        <w:spacing w:after="160"/>
        <w:jc w:val="both"/>
      </w:pPr>
      <w:r>
        <w:t xml:space="preserve">Se ajustaron modelos de regresión lineal simple de la forma </w:t>
      </w:r>
      <w:proofErr w:type="spellStart"/>
      <w:r>
        <w:t>deaths</w:t>
      </w:r>
      <w:proofErr w:type="spellEnd"/>
      <w:r>
        <w:t xml:space="preserve"> = β₀ + β₁ · </w:t>
      </w:r>
      <w:proofErr w:type="spellStart"/>
      <w:r>
        <w:t>incidence_rate_c</w:t>
      </w:r>
      <w:proofErr w:type="spellEnd"/>
      <w:r>
        <w:t>, aplicados en tres subconjuntos de datos: la base completa (</w:t>
      </w:r>
      <w:proofErr w:type="spellStart"/>
      <w:r>
        <w:t>dengue_clean</w:t>
      </w:r>
      <w:proofErr w:type="spellEnd"/>
      <w:r>
        <w:t>), los consolidados regionales (</w:t>
      </w:r>
      <w:proofErr w:type="spellStart"/>
      <w:r>
        <w:t>dengue_regional</w:t>
      </w:r>
      <w:proofErr w:type="spellEnd"/>
      <w:r>
        <w:t>) y los países y territorios individuales (</w:t>
      </w:r>
      <w:proofErr w:type="spellStart"/>
      <w:r>
        <w:t>dengue_paises</w:t>
      </w:r>
      <w:proofErr w:type="spellEnd"/>
      <w:r>
        <w:t>).</w:t>
      </w:r>
    </w:p>
    <w:p w14:paraId="1616DE14" w14:textId="77777777" w:rsidR="004214D6" w:rsidRDefault="00000000">
      <w:pPr>
        <w:spacing w:after="160"/>
        <w:jc w:val="both"/>
      </w:pPr>
      <w:r>
        <w:t>El modelo ajustado sobre la base completa presentó una capacidad explicativa muy reducida (R² ≈ 1.4%), resultado esperable dado que la mezcla de niveles geográficos introduce una heterogeneidad que el modelo lineal simple no puede capturar. A nivel regional, el R² aumentó considerablemente (≈ 44%), con un coeficiente β₁ estadísticamente significativo (p &lt; 0.001), lo que indica que existe una asociación positiva entre incidencia y mortalidad en este nivel de análisis. A nivel país, el R² fue de aproximadamente 3.4%, reflejando la mayor heterogeneidad entre países individuales.</w:t>
      </w:r>
    </w:p>
    <w:p w14:paraId="06526C60" w14:textId="77777777" w:rsidR="004214D6" w:rsidRDefault="00000000">
      <w:pPr>
        <w:spacing w:after="160"/>
        <w:jc w:val="both"/>
      </w:pPr>
      <w:r>
        <w:t xml:space="preserve">El diagnóstico de los supuestos del modelo regional reveló violaciones importantes: la prueba de Shapiro-Wilk rechazó la normalidad de los residuos (p &lt; 0.001), y la prueba de </w:t>
      </w:r>
      <w:proofErr w:type="spellStart"/>
      <w:r>
        <w:t>Breusch</w:t>
      </w:r>
      <w:proofErr w:type="spellEnd"/>
      <w:r>
        <w:t>-Pagan confirmó la presencia de heterocedasticidad (p = 0.013). El gráfico de influencia identificó las observaciones 90 y 51 como influyentes, con distancias de Cook superiores a 2.1 y 3.1 respectivamente, lo que implica que el modelo es sensible a valores extremos.</w:t>
      </w:r>
    </w:p>
    <w:p w14:paraId="231460D0" w14:textId="77777777" w:rsidR="004214D6" w:rsidRDefault="00000000">
      <w:pPr>
        <w:spacing w:after="160"/>
        <w:jc w:val="both"/>
      </w:pPr>
      <w:r>
        <w:t>Para mejorar el ajuste, se aplicó una transformación logarítmica a ambas variables: log1p(</w:t>
      </w:r>
      <w:proofErr w:type="spellStart"/>
      <w:r>
        <w:t>deaths</w:t>
      </w:r>
      <w:proofErr w:type="spellEnd"/>
      <w:r>
        <w:t>) = β₀ + β₁ · log1p(</w:t>
      </w:r>
      <w:proofErr w:type="spellStart"/>
      <w:r>
        <w:t>incidence_rate_c</w:t>
      </w:r>
      <w:proofErr w:type="spellEnd"/>
      <w:r>
        <w:t xml:space="preserve">). Este modelo mejoró la estabilidad de la varianza (la prueba de </w:t>
      </w:r>
      <w:proofErr w:type="spellStart"/>
      <w:r>
        <w:t>Breusch</w:t>
      </w:r>
      <w:proofErr w:type="spellEnd"/>
      <w:r>
        <w:t>-Pagan dejó de ser significativa), aunque la no normalidad de los residuos persistió, por lo que debe interpretarse como una aproximación exploratoria y no como un modelo predictivo definitivo.</w:t>
      </w:r>
    </w:p>
    <w:p w14:paraId="5FD2DF68" w14:textId="77777777" w:rsidR="004214D6" w:rsidRDefault="00000000">
      <w:pPr>
        <w:pStyle w:val="Heading2"/>
      </w:pPr>
      <w:r>
        <w:lastRenderedPageBreak/>
        <w:t>2.4 Modelo 2: Correlación de Spearman</w:t>
      </w:r>
    </w:p>
    <w:p w14:paraId="37D17C70" w14:textId="77777777" w:rsidR="004214D6" w:rsidRDefault="00000000">
      <w:pPr>
        <w:spacing w:after="160"/>
        <w:jc w:val="both"/>
      </w:pPr>
      <w:r>
        <w:t>Dado que los supuestos de la regresión lineal clásica no se cumplen en estos datos —especialmente la normalidad de los residuos y la homocedasticidad—, se aplicó la correlación de Spearman (ρ) como modelo estadístico alternativo. A diferencia de la correlación de Pearson, el coeficiente de Spearman no asume distribución normal ni linealidad estricta: trabaja sobre los rangos de los datos, siendo robusto ante valores extremos y distribuciones asimétricas, características propias de esta base de datos.</w:t>
      </w:r>
    </w:p>
    <w:p w14:paraId="7A9F9E7D" w14:textId="77777777" w:rsidR="004214D6" w:rsidRDefault="00000000">
      <w:pPr>
        <w:spacing w:after="160"/>
        <w:jc w:val="both"/>
      </w:pPr>
      <w:r>
        <w:t xml:space="preserve">Los resultados obtenidos fueron los siguientes: a nivel de países y territorios individuales, la correlación de Spearman entre </w:t>
      </w:r>
      <w:proofErr w:type="spellStart"/>
      <w:r>
        <w:t>incidence_rate_c</w:t>
      </w:r>
      <w:proofErr w:type="spellEnd"/>
      <w:r>
        <w:t xml:space="preserve"> y </w:t>
      </w:r>
      <w:proofErr w:type="spellStart"/>
      <w:r>
        <w:t>deaths</w:t>
      </w:r>
      <w:proofErr w:type="spellEnd"/>
      <w:r>
        <w:t xml:space="preserve"> fue de ρ ≈ 0.18 (p &lt; 0.001), mientras que la correlación de Pearson arrojó r ≈ 0.18 con un intervalo de confianza que apenas excluye el cero. Aunque ambas correlaciones son estadísticamente significativas, la magnitud es baja, lo que indica que la tasa de incidencia por sí sola explica una fracción reducida de la variación en mortalidad a nivel país.</w:t>
      </w:r>
    </w:p>
    <w:p w14:paraId="58901E64" w14:textId="77777777" w:rsidR="004214D6" w:rsidRDefault="00000000">
      <w:pPr>
        <w:spacing w:after="160"/>
        <w:jc w:val="both"/>
      </w:pPr>
      <w:r>
        <w:t>A nivel de consolidados regionales, el coeficiente de Spearman fue de ρ ≈ 0.77, evidenciando una asociación fuerte y positiva entre ambas variables en este nivel de agregación geográfica, consistente con lo observado en la matriz de correlación visual (</w:t>
      </w:r>
      <w:proofErr w:type="spellStart"/>
      <w:proofErr w:type="gramStart"/>
      <w:r>
        <w:t>GGally</w:t>
      </w:r>
      <w:proofErr w:type="spellEnd"/>
      <w:r>
        <w:t>::</w:t>
      </w:r>
      <w:proofErr w:type="spellStart"/>
      <w:proofErr w:type="gramEnd"/>
      <w:r>
        <w:t>ggpairs</w:t>
      </w:r>
      <w:proofErr w:type="spellEnd"/>
      <w:r>
        <w:t>).</w:t>
      </w:r>
    </w:p>
    <w:p w14:paraId="2BEABB45" w14:textId="77777777" w:rsidR="004214D6" w:rsidRDefault="00000000">
      <w:pPr>
        <w:pStyle w:val="Heading2"/>
      </w:pPr>
      <w:r>
        <w:t>2.5 Resumen comparativo de resultados</w:t>
      </w:r>
    </w:p>
    <w:p w14:paraId="671F10D8" w14:textId="77777777" w:rsidR="004214D6" w:rsidRDefault="00000000">
      <w:pPr>
        <w:spacing w:after="100"/>
        <w:jc w:val="both"/>
      </w:pPr>
      <w:r>
        <w:t>La siguiente tabla resume los indicadores clave de ambos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1893"/>
        <w:gridCol w:w="1150"/>
        <w:gridCol w:w="1143"/>
        <w:gridCol w:w="1463"/>
        <w:gridCol w:w="1625"/>
      </w:tblGrid>
      <w:tr w:rsidR="004214D6" w14:paraId="17079DE5"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2DD612F3" w14:textId="77777777" w:rsidR="004214D6" w:rsidRDefault="00000000">
            <w:pPr>
              <w:jc w:val="center"/>
            </w:pPr>
            <w:r>
              <w:rPr>
                <w:b/>
                <w:bCs/>
                <w:color w:val="FFFFFF"/>
                <w:sz w:val="18"/>
                <w:szCs w:val="18"/>
              </w:rPr>
              <w:t>Modelo</w:t>
            </w:r>
          </w:p>
        </w:tc>
        <w:tc>
          <w:tcPr>
            <w:tcW w:w="200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08A1BE03" w14:textId="77777777" w:rsidR="004214D6" w:rsidRDefault="00000000">
            <w:pPr>
              <w:jc w:val="center"/>
            </w:pPr>
            <w:r>
              <w:rPr>
                <w:b/>
                <w:bCs/>
                <w:color w:val="FFFFFF"/>
                <w:sz w:val="18"/>
                <w:szCs w:val="18"/>
              </w:rPr>
              <w:t>Datos</w:t>
            </w:r>
          </w:p>
        </w:tc>
        <w:tc>
          <w:tcPr>
            <w:tcW w:w="120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40032260" w14:textId="77777777" w:rsidR="004214D6" w:rsidRDefault="00000000">
            <w:pPr>
              <w:jc w:val="center"/>
            </w:pPr>
            <w:r>
              <w:rPr>
                <w:b/>
                <w:bCs/>
                <w:color w:val="FFFFFF"/>
                <w:sz w:val="18"/>
                <w:szCs w:val="18"/>
              </w:rPr>
              <w:t>R²</w:t>
            </w:r>
          </w:p>
        </w:tc>
        <w:tc>
          <w:tcPr>
            <w:tcW w:w="120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534A99EF" w14:textId="77777777" w:rsidR="004214D6" w:rsidRDefault="00000000">
            <w:pPr>
              <w:jc w:val="center"/>
            </w:pPr>
            <w:r>
              <w:rPr>
                <w:b/>
                <w:bCs/>
                <w:color w:val="FFFFFF"/>
                <w:sz w:val="18"/>
                <w:szCs w:val="18"/>
              </w:rPr>
              <w:t>p-valor (β₁)</w:t>
            </w:r>
          </w:p>
        </w:tc>
        <w:tc>
          <w:tcPr>
            <w:tcW w:w="150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70005697" w14:textId="77777777" w:rsidR="004214D6" w:rsidRDefault="00000000">
            <w:pPr>
              <w:jc w:val="center"/>
            </w:pPr>
            <w:r>
              <w:rPr>
                <w:b/>
                <w:bCs/>
                <w:color w:val="FFFFFF"/>
                <w:sz w:val="18"/>
                <w:szCs w:val="18"/>
              </w:rPr>
              <w:t>Normalidad residuos</w:t>
            </w:r>
          </w:p>
        </w:tc>
        <w:tc>
          <w:tcPr>
            <w:tcW w:w="1260" w:type="dxa"/>
            <w:tcBorders>
              <w:top w:val="single" w:sz="4" w:space="0" w:color="B8CCE4"/>
              <w:left w:val="single" w:sz="4" w:space="0" w:color="B8CCE4"/>
              <w:bottom w:val="single" w:sz="4" w:space="0" w:color="B8CCE4"/>
              <w:right w:val="single" w:sz="4" w:space="0" w:color="B8CCE4"/>
            </w:tcBorders>
            <w:shd w:val="clear" w:color="auto" w:fill="1F3864"/>
            <w:tcMar>
              <w:top w:w="80" w:type="dxa"/>
              <w:left w:w="120" w:type="dxa"/>
              <w:bottom w:w="80" w:type="dxa"/>
              <w:right w:w="120" w:type="dxa"/>
            </w:tcMar>
          </w:tcPr>
          <w:p w14:paraId="5806C6DB" w14:textId="77777777" w:rsidR="004214D6" w:rsidRDefault="00000000">
            <w:pPr>
              <w:jc w:val="center"/>
            </w:pPr>
            <w:r>
              <w:rPr>
                <w:b/>
                <w:bCs/>
                <w:color w:val="FFFFFF"/>
                <w:sz w:val="18"/>
                <w:szCs w:val="18"/>
              </w:rPr>
              <w:t>Homocedasticidad</w:t>
            </w:r>
          </w:p>
        </w:tc>
      </w:tr>
      <w:tr w:rsidR="004214D6" w14:paraId="369883E7"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1A4127F8" w14:textId="77777777" w:rsidR="004214D6" w:rsidRDefault="00000000">
            <w:pPr>
              <w:jc w:val="center"/>
            </w:pPr>
            <w:r>
              <w:rPr>
                <w:sz w:val="18"/>
                <w:szCs w:val="18"/>
              </w:rPr>
              <w:t>Regresión lineal simple</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50A71D66" w14:textId="77777777" w:rsidR="004214D6" w:rsidRDefault="00000000">
            <w:pPr>
              <w:jc w:val="center"/>
            </w:pPr>
            <w:r>
              <w:rPr>
                <w:sz w:val="18"/>
                <w:szCs w:val="18"/>
              </w:rPr>
              <w:t>Completo</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361FB6C2" w14:textId="77777777" w:rsidR="004214D6" w:rsidRDefault="00000000">
            <w:pPr>
              <w:jc w:val="center"/>
            </w:pPr>
            <w:r>
              <w:rPr>
                <w:sz w:val="18"/>
                <w:szCs w:val="18"/>
              </w:rPr>
              <w:t>~1.4%</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79B30F1C" w14:textId="77777777" w:rsidR="004214D6" w:rsidRDefault="00000000">
            <w:pPr>
              <w:jc w:val="center"/>
            </w:pPr>
            <w:r>
              <w:rPr>
                <w:sz w:val="18"/>
                <w:szCs w:val="18"/>
              </w:rPr>
              <w:t>&lt; 0.001</w:t>
            </w:r>
          </w:p>
        </w:tc>
        <w:tc>
          <w:tcPr>
            <w:tcW w:w="1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65578ED2" w14:textId="77777777" w:rsidR="004214D6" w:rsidRDefault="00000000">
            <w:pPr>
              <w:jc w:val="center"/>
            </w:pPr>
            <w:r>
              <w:rPr>
                <w:sz w:val="18"/>
                <w:szCs w:val="18"/>
              </w:rPr>
              <w:t>No (p &lt; 0.05)</w:t>
            </w:r>
          </w:p>
        </w:tc>
        <w:tc>
          <w:tcPr>
            <w:tcW w:w="12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6B0EEC9F" w14:textId="77777777" w:rsidR="004214D6" w:rsidRDefault="00000000">
            <w:pPr>
              <w:jc w:val="center"/>
            </w:pPr>
            <w:r>
              <w:rPr>
                <w:sz w:val="18"/>
                <w:szCs w:val="18"/>
              </w:rPr>
              <w:t>No (BP p &lt; 0.05)</w:t>
            </w:r>
          </w:p>
        </w:tc>
      </w:tr>
      <w:tr w:rsidR="004214D6" w14:paraId="34AEF55C"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408FD60" w14:textId="77777777" w:rsidR="004214D6" w:rsidRDefault="00000000">
            <w:pPr>
              <w:jc w:val="center"/>
            </w:pPr>
            <w:r>
              <w:rPr>
                <w:sz w:val="18"/>
                <w:szCs w:val="18"/>
              </w:rPr>
              <w:t>Regresión lineal simple</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ED1827" w14:textId="77777777" w:rsidR="004214D6" w:rsidRDefault="00000000">
            <w:pPr>
              <w:jc w:val="center"/>
            </w:pPr>
            <w:r>
              <w:rPr>
                <w:sz w:val="18"/>
                <w:szCs w:val="18"/>
              </w:rPr>
              <w:t>Regional</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DC46690" w14:textId="77777777" w:rsidR="004214D6" w:rsidRDefault="00000000">
            <w:pPr>
              <w:jc w:val="center"/>
            </w:pPr>
            <w:r>
              <w:rPr>
                <w:sz w:val="18"/>
                <w:szCs w:val="18"/>
              </w:rPr>
              <w:t>~44%</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29F665A" w14:textId="77777777" w:rsidR="004214D6" w:rsidRDefault="00000000">
            <w:pPr>
              <w:jc w:val="center"/>
            </w:pPr>
            <w:r>
              <w:rPr>
                <w:sz w:val="18"/>
                <w:szCs w:val="18"/>
              </w:rPr>
              <w:t>&lt; 0.001</w:t>
            </w:r>
          </w:p>
        </w:tc>
        <w:tc>
          <w:tcPr>
            <w:tcW w:w="1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263B7A" w14:textId="77777777" w:rsidR="004214D6" w:rsidRDefault="00000000">
            <w:pPr>
              <w:jc w:val="center"/>
            </w:pPr>
            <w:r>
              <w:rPr>
                <w:sz w:val="18"/>
                <w:szCs w:val="18"/>
              </w:rPr>
              <w:t>No (p &lt; 0.05)</w:t>
            </w:r>
          </w:p>
        </w:tc>
        <w:tc>
          <w:tcPr>
            <w:tcW w:w="12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C47450" w14:textId="77777777" w:rsidR="004214D6" w:rsidRDefault="00000000">
            <w:pPr>
              <w:jc w:val="center"/>
            </w:pPr>
            <w:r>
              <w:rPr>
                <w:sz w:val="18"/>
                <w:szCs w:val="18"/>
              </w:rPr>
              <w:t>No (BP = 0.013)</w:t>
            </w:r>
          </w:p>
        </w:tc>
      </w:tr>
      <w:tr w:rsidR="004214D6" w14:paraId="6BB00F0B"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37078B29" w14:textId="77777777" w:rsidR="004214D6" w:rsidRDefault="00000000">
            <w:pPr>
              <w:jc w:val="center"/>
            </w:pPr>
            <w:r>
              <w:rPr>
                <w:sz w:val="18"/>
                <w:szCs w:val="18"/>
              </w:rPr>
              <w:t>Regresión lineal logarítmica</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37727B56" w14:textId="77777777" w:rsidR="004214D6" w:rsidRDefault="00000000">
            <w:pPr>
              <w:jc w:val="center"/>
            </w:pPr>
            <w:r>
              <w:rPr>
                <w:sz w:val="18"/>
                <w:szCs w:val="18"/>
              </w:rPr>
              <w:t>Regional</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3DF26B1C" w14:textId="77777777" w:rsidR="004214D6" w:rsidRDefault="00000000">
            <w:pPr>
              <w:jc w:val="center"/>
            </w:pPr>
            <w:r>
              <w:rPr>
                <w:sz w:val="18"/>
                <w:szCs w:val="18"/>
              </w:rPr>
              <w:t>~60%*</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1803D4FC" w14:textId="77777777" w:rsidR="004214D6" w:rsidRDefault="00000000">
            <w:pPr>
              <w:jc w:val="center"/>
            </w:pPr>
            <w:r>
              <w:rPr>
                <w:sz w:val="18"/>
                <w:szCs w:val="18"/>
              </w:rPr>
              <w:t>&lt; 0.001</w:t>
            </w:r>
          </w:p>
        </w:tc>
        <w:tc>
          <w:tcPr>
            <w:tcW w:w="1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660E89C8" w14:textId="77777777" w:rsidR="004214D6" w:rsidRDefault="00000000">
            <w:pPr>
              <w:jc w:val="center"/>
            </w:pPr>
            <w:r>
              <w:rPr>
                <w:sz w:val="18"/>
                <w:szCs w:val="18"/>
              </w:rPr>
              <w:t>No (mejora)</w:t>
            </w:r>
          </w:p>
        </w:tc>
        <w:tc>
          <w:tcPr>
            <w:tcW w:w="12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56C8AD60" w14:textId="77777777" w:rsidR="004214D6" w:rsidRDefault="00000000">
            <w:pPr>
              <w:jc w:val="center"/>
            </w:pPr>
            <w:r>
              <w:rPr>
                <w:sz w:val="18"/>
                <w:szCs w:val="18"/>
              </w:rPr>
              <w:t>Sí (BP &gt; 0.05)</w:t>
            </w:r>
          </w:p>
        </w:tc>
      </w:tr>
      <w:tr w:rsidR="004214D6" w14:paraId="6088933E"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C3E0AA9" w14:textId="77777777" w:rsidR="004214D6" w:rsidRDefault="00000000">
            <w:pPr>
              <w:jc w:val="center"/>
            </w:pPr>
            <w:r>
              <w:rPr>
                <w:sz w:val="18"/>
                <w:szCs w:val="18"/>
              </w:rPr>
              <w:t>Correlación de Spearman</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2BE45D" w14:textId="77777777" w:rsidR="004214D6" w:rsidRDefault="00000000">
            <w:pPr>
              <w:jc w:val="center"/>
            </w:pPr>
            <w:r>
              <w:rPr>
                <w:sz w:val="18"/>
                <w:szCs w:val="18"/>
              </w:rPr>
              <w:t>Países</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E49DFF" w14:textId="77777777" w:rsidR="004214D6" w:rsidRDefault="00000000">
            <w:pPr>
              <w:jc w:val="center"/>
            </w:pPr>
            <w:r>
              <w:rPr>
                <w:sz w:val="18"/>
                <w:szCs w:val="18"/>
              </w:rPr>
              <w:t>ρ ≈ 0.18</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E8E3427" w14:textId="77777777" w:rsidR="004214D6" w:rsidRDefault="00000000">
            <w:pPr>
              <w:jc w:val="center"/>
            </w:pPr>
            <w:r>
              <w:rPr>
                <w:sz w:val="18"/>
                <w:szCs w:val="18"/>
              </w:rPr>
              <w:t>&lt; 0.001</w:t>
            </w:r>
          </w:p>
        </w:tc>
        <w:tc>
          <w:tcPr>
            <w:tcW w:w="1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7380F3" w14:textId="77777777" w:rsidR="004214D6" w:rsidRDefault="00000000">
            <w:pPr>
              <w:jc w:val="center"/>
            </w:pPr>
            <w:r>
              <w:rPr>
                <w:sz w:val="18"/>
                <w:szCs w:val="18"/>
              </w:rPr>
              <w:t>No aplica</w:t>
            </w:r>
          </w:p>
        </w:tc>
        <w:tc>
          <w:tcPr>
            <w:tcW w:w="12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26E0BE" w14:textId="77777777" w:rsidR="004214D6" w:rsidRDefault="00000000">
            <w:pPr>
              <w:jc w:val="center"/>
            </w:pPr>
            <w:r>
              <w:rPr>
                <w:sz w:val="18"/>
                <w:szCs w:val="18"/>
              </w:rPr>
              <w:t>No aplica</w:t>
            </w:r>
          </w:p>
        </w:tc>
      </w:tr>
      <w:tr w:rsidR="004214D6" w14:paraId="12A2D65B"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72859088" w14:textId="77777777" w:rsidR="004214D6" w:rsidRDefault="00000000">
            <w:pPr>
              <w:jc w:val="center"/>
            </w:pPr>
            <w:r>
              <w:rPr>
                <w:sz w:val="18"/>
                <w:szCs w:val="18"/>
              </w:rPr>
              <w:t>Correlación de Spearman</w:t>
            </w:r>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0906978A" w14:textId="77777777" w:rsidR="004214D6" w:rsidRDefault="00000000">
            <w:pPr>
              <w:jc w:val="center"/>
            </w:pPr>
            <w:r>
              <w:rPr>
                <w:sz w:val="18"/>
                <w:szCs w:val="18"/>
              </w:rPr>
              <w:t>Regional</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5CF02C6C" w14:textId="77777777" w:rsidR="004214D6" w:rsidRDefault="00000000">
            <w:pPr>
              <w:jc w:val="center"/>
            </w:pPr>
            <w:r>
              <w:rPr>
                <w:sz w:val="18"/>
                <w:szCs w:val="18"/>
              </w:rPr>
              <w:t>ρ ≈ 0.77</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04E51A48" w14:textId="77777777" w:rsidR="004214D6" w:rsidRDefault="00000000">
            <w:pPr>
              <w:jc w:val="center"/>
            </w:pPr>
            <w:r>
              <w:rPr>
                <w:sz w:val="18"/>
                <w:szCs w:val="18"/>
              </w:rPr>
              <w:t>&lt; 0.001</w:t>
            </w:r>
          </w:p>
        </w:tc>
        <w:tc>
          <w:tcPr>
            <w:tcW w:w="1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642DF6F9" w14:textId="77777777" w:rsidR="004214D6" w:rsidRDefault="00000000">
            <w:pPr>
              <w:jc w:val="center"/>
            </w:pPr>
            <w:r>
              <w:rPr>
                <w:sz w:val="18"/>
                <w:szCs w:val="18"/>
              </w:rPr>
              <w:t>No aplica</w:t>
            </w:r>
          </w:p>
        </w:tc>
        <w:tc>
          <w:tcPr>
            <w:tcW w:w="12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00" w:type="dxa"/>
              <w:bottom w:w="60" w:type="dxa"/>
              <w:right w:w="100" w:type="dxa"/>
            </w:tcMar>
          </w:tcPr>
          <w:p w14:paraId="52689ED9" w14:textId="77777777" w:rsidR="004214D6" w:rsidRDefault="00000000">
            <w:pPr>
              <w:jc w:val="center"/>
            </w:pPr>
            <w:r>
              <w:rPr>
                <w:sz w:val="18"/>
                <w:szCs w:val="18"/>
              </w:rPr>
              <w:t>No aplica</w:t>
            </w:r>
          </w:p>
        </w:tc>
      </w:tr>
    </w:tbl>
    <w:p w14:paraId="0C062DA4" w14:textId="77777777" w:rsidR="004214D6" w:rsidRDefault="00000000">
      <w:pPr>
        <w:spacing w:after="160"/>
        <w:jc w:val="both"/>
      </w:pPr>
      <w:r>
        <w:rPr>
          <w:color w:val="666666"/>
          <w:sz w:val="18"/>
          <w:szCs w:val="18"/>
        </w:rPr>
        <w:t>*R² aproximado en escala logarítmica; no directamente comparable con el modelo lineal original.</w:t>
      </w:r>
    </w:p>
    <w:p w14:paraId="6411921E" w14:textId="77777777" w:rsidR="004214D6" w:rsidRDefault="00000000">
      <w:pPr>
        <w:pStyle w:val="Heading1"/>
      </w:pPr>
      <w:r>
        <w:t>III. Conclusiones y Líneas Futuras</w:t>
      </w:r>
    </w:p>
    <w:p w14:paraId="111F62D1" w14:textId="77777777" w:rsidR="004214D6" w:rsidRDefault="00000000">
      <w:pPr>
        <w:pStyle w:val="Heading2"/>
      </w:pPr>
      <w:r>
        <w:t>3.1 Discusión de discrepancias entre modelos</w:t>
      </w:r>
    </w:p>
    <w:p w14:paraId="7C1E9E33" w14:textId="77777777" w:rsidR="004214D6" w:rsidRDefault="00000000">
      <w:pPr>
        <w:spacing w:after="160"/>
        <w:jc w:val="both"/>
      </w:pPr>
      <w:r>
        <w:t>Ambos modelos coinciden en la dirección de la asociación: a mayor tasa de incidencia, mayor número de muertes reportadas. Sin embargo, difieren en aspectos relevantes que merece la pena analizar.</w:t>
      </w:r>
    </w:p>
    <w:p w14:paraId="3DA80629" w14:textId="77777777" w:rsidR="004214D6" w:rsidRDefault="00000000">
      <w:pPr>
        <w:spacing w:after="160"/>
        <w:jc w:val="both"/>
      </w:pPr>
      <w:r>
        <w:t>La regresión lineal simple, al imponer una relación lineal y asumir normalidad e independencia de los errores, resulta sensible a los valores extremos presentes en la base (especialmente Brasil en 2024 y los grandes consolidados regionales). El coeficiente β₁ es significativo en el modelo regional, pero las violaciones de supuestos reducen la fiabilidad de los intervalos de confianza y los p-valores. La transformación logarítmica mitiga parcialmente este problema, pero no lo resuelve completamente.</w:t>
      </w:r>
    </w:p>
    <w:p w14:paraId="720121A4" w14:textId="4DC87661" w:rsidR="004214D6" w:rsidRDefault="00000000">
      <w:pPr>
        <w:spacing w:after="160"/>
        <w:jc w:val="both"/>
      </w:pPr>
      <w:r>
        <w:t xml:space="preserve">La correlación de Spearman, al operar sobre rangos en lugar de valores absolutos, es menos afectada por los </w:t>
      </w:r>
      <w:r w:rsidR="001B6648">
        <w:t>valores atípicos</w:t>
      </w:r>
      <w:r>
        <w:t xml:space="preserve"> y no requiere normalidad. En el nivel país, el coeficiente de Spearman (ρ ≈ 0.18) es coherente con la regresión logarítmica (R² ≈ 15.8%), ya que ambos señalan una asociación débil pero presente. En el nivel regional, el Spearman (ρ ≈ 0.77) es más consistente con la realidad epidemiológica, ya que el agregado regional estabiliza los valores extremos de países individuales.</w:t>
      </w:r>
    </w:p>
    <w:p w14:paraId="30748D1C" w14:textId="77777777" w:rsidR="004214D6" w:rsidRDefault="00000000">
      <w:pPr>
        <w:spacing w:after="160"/>
        <w:jc w:val="both"/>
      </w:pPr>
      <w:r>
        <w:t xml:space="preserve">En consecuencia, se considera que el modelo de Spearman describe más adecuadamente la asociación entre incidencia y mortalidad en este conjunto de datos, dado que los supuestos de la regresión lineal clásica no se cumplen y la distribución de los datos es marcadamente asimétrica. La regresión lineal, especialmente en </w:t>
      </w:r>
      <w:r>
        <w:lastRenderedPageBreak/>
        <w:t>su versión logarítmica, conserva utilidad como herramienta exploratoria para cuantificar la magnitud del efecto, pero sus resultados deben interpretarse con cautela.</w:t>
      </w:r>
    </w:p>
    <w:p w14:paraId="025640D2" w14:textId="77777777" w:rsidR="004214D6" w:rsidRDefault="00000000">
      <w:pPr>
        <w:pStyle w:val="Heading2"/>
      </w:pPr>
      <w:r>
        <w:t>3.2 Conclusiones principales</w:t>
      </w:r>
    </w:p>
    <w:p w14:paraId="42015D01" w14:textId="77777777" w:rsidR="004214D6" w:rsidRDefault="00000000">
      <w:pPr>
        <w:pStyle w:val="ListParagraph"/>
        <w:numPr>
          <w:ilvl w:val="0"/>
          <w:numId w:val="2"/>
        </w:numPr>
        <w:spacing w:after="80"/>
      </w:pPr>
      <w:r>
        <w:t>Se confirmó la existencia de una asociación positiva y estadísticamente significativa entre la tasa de incidencia del dengue y las muertes reportadas en la región de las Américas durante 2014–2024.</w:t>
      </w:r>
    </w:p>
    <w:p w14:paraId="4959C95B" w14:textId="77777777" w:rsidR="004214D6" w:rsidRDefault="00000000">
      <w:pPr>
        <w:pStyle w:val="ListParagraph"/>
        <w:numPr>
          <w:ilvl w:val="0"/>
          <w:numId w:val="2"/>
        </w:numPr>
        <w:spacing w:after="80"/>
      </w:pPr>
      <w:r>
        <w:t>La asociación es considerablemente más fuerte a nivel de consolidados regionales (ρ ≈ 0.77) que a nivel de países individuales (ρ ≈ 0.18), lo que sugiere que factores de escala y heterogeneidad interna de los países modulan la relación entre incidencia y mortalidad.</w:t>
      </w:r>
    </w:p>
    <w:p w14:paraId="148E784F" w14:textId="77777777" w:rsidR="004214D6" w:rsidRDefault="00000000">
      <w:pPr>
        <w:pStyle w:val="ListParagraph"/>
        <w:numPr>
          <w:ilvl w:val="0"/>
          <w:numId w:val="2"/>
        </w:numPr>
        <w:spacing w:after="80"/>
      </w:pPr>
      <w:r>
        <w:t>Brasil concentra la mayor parte de los casos extremos, influyendo de forma determinante en los modelos a nivel regional y de Cono Sur.</w:t>
      </w:r>
    </w:p>
    <w:p w14:paraId="38AA36C8" w14:textId="77777777" w:rsidR="004214D6" w:rsidRDefault="00000000">
      <w:pPr>
        <w:pStyle w:val="ListParagraph"/>
        <w:numPr>
          <w:ilvl w:val="0"/>
          <w:numId w:val="2"/>
        </w:numPr>
        <w:spacing w:after="80"/>
      </w:pPr>
      <w:r>
        <w:t>La incidencia por sí sola no explica completamente la mortalidad por dengue: probablemente intervienen otros factores como la capacidad del sistema sanitario, la tasa de dengue grave, la densidad poblacional y la oportunidad diagnóstica.</w:t>
      </w:r>
    </w:p>
    <w:p w14:paraId="75046674" w14:textId="77777777" w:rsidR="004214D6" w:rsidRDefault="00000000">
      <w:pPr>
        <w:pStyle w:val="ListParagraph"/>
        <w:numPr>
          <w:ilvl w:val="0"/>
          <w:numId w:val="2"/>
        </w:numPr>
        <w:spacing w:after="80"/>
      </w:pPr>
      <w:r>
        <w:t>Frente a datos con alta asimetría y valores extremos, los métodos no paramétricos (Spearman) ofrecen una estimación más robusta de la asociación que la regresión lineal clásica.</w:t>
      </w:r>
    </w:p>
    <w:p w14:paraId="44DB5B23" w14:textId="77777777" w:rsidR="004214D6" w:rsidRDefault="004214D6">
      <w:pPr>
        <w:spacing w:after="80"/>
      </w:pPr>
    </w:p>
    <w:p w14:paraId="2E44363E" w14:textId="77777777" w:rsidR="004214D6" w:rsidRDefault="00000000">
      <w:pPr>
        <w:pStyle w:val="Heading2"/>
      </w:pPr>
      <w:r>
        <w:t>3.3 Limitaciones del estudio</w:t>
      </w:r>
    </w:p>
    <w:p w14:paraId="09E1AAEA" w14:textId="77777777" w:rsidR="004214D6" w:rsidRDefault="00000000">
      <w:pPr>
        <w:spacing w:after="160"/>
        <w:jc w:val="both"/>
      </w:pPr>
      <w:r>
        <w:t xml:space="preserve">El análisis presenta limitaciones relevantes. En primer lugar, la unidad de análisis (país/año o región/año) implica que los resultados no son directamente extrapolables a nivel individual o subregional. En segundo lugar, la base de datos puede presentar </w:t>
      </w:r>
      <w:proofErr w:type="spellStart"/>
      <w:r>
        <w:t>subnotificación</w:t>
      </w:r>
      <w:proofErr w:type="spellEnd"/>
      <w:r>
        <w:t xml:space="preserve"> sistemática en países con menor capacidad diagnóstica, lo que sesga tanto las tasas de incidencia como las muertes reportadas. Por último, el enfoque bivariado no controla el efecto de variables de confusión como el tamaño poblacional, el acceso al sistema sanitario o la circulación de serotipos virales.</w:t>
      </w:r>
    </w:p>
    <w:p w14:paraId="316683F0" w14:textId="77777777" w:rsidR="004214D6" w:rsidRDefault="00000000">
      <w:pPr>
        <w:pStyle w:val="Heading2"/>
      </w:pPr>
      <w:r>
        <w:t>3.4 Líneas futuras</w:t>
      </w:r>
    </w:p>
    <w:p w14:paraId="44E0591E" w14:textId="77777777" w:rsidR="004214D6" w:rsidRDefault="00000000">
      <w:pPr>
        <w:spacing w:after="160"/>
        <w:jc w:val="both"/>
      </w:pPr>
      <w:r>
        <w:t>Como continuación natural de este trabajo, se propone explorar modelos multivariados que incorporen covariables epidemiológicas y socioeconómicas (tasa de dengue grave, cobertura sanitaria, temperatura media, índice de desarrollo humano). Asimismo, sería pertinente aplicar modelos para datos de conteo (regresión de Poisson o binomial negativa) dado que la variable de respuesta (muertes) es un conteo discreto no negativo, lo que hace que la regresión lineal sea técnicamente inapropiada. Finalmente, un análisis de series de tiempo permitiría estudiar la dinámica temporal del dengue y anticipar brotes futuros con mayor precisión.</w:t>
      </w:r>
    </w:p>
    <w:p w14:paraId="6DC79FF3" w14:textId="77777777" w:rsidR="004214D6" w:rsidRDefault="00000000">
      <w:pPr>
        <w:pStyle w:val="Heading1"/>
      </w:pPr>
      <w:r>
        <w:t>Referencias</w:t>
      </w:r>
    </w:p>
    <w:p w14:paraId="1E501521" w14:textId="77777777" w:rsidR="004214D6" w:rsidRDefault="00000000">
      <w:pPr>
        <w:spacing w:after="160"/>
        <w:jc w:val="both"/>
      </w:pPr>
      <w:r>
        <w:t>Organización Panamericana de la Salud (OPS/PAHO). (2024). Dengue: Informe de situación epidemiológica en las Américas. Washington, D.C.: OPS. Recuperado de https://www.paho.org/es/temas/dengue</w:t>
      </w:r>
    </w:p>
    <w:p w14:paraId="0147638A" w14:textId="77777777" w:rsidR="004214D6" w:rsidRPr="00F80F8D" w:rsidRDefault="00000000">
      <w:pPr>
        <w:spacing w:after="160"/>
        <w:jc w:val="both"/>
        <w:rPr>
          <w:lang w:val="en-US"/>
        </w:rPr>
      </w:pPr>
      <w:r w:rsidRPr="00F80F8D">
        <w:rPr>
          <w:lang w:val="en-US"/>
        </w:rPr>
        <w:t>R Core Team. (2024). R: A language and environment for statistical computing. R Foundation for Statistical Computing, Vienna, Austria. https://www.R-project.org/</w:t>
      </w:r>
    </w:p>
    <w:p w14:paraId="2AC262BA" w14:textId="77777777" w:rsidR="004214D6" w:rsidRPr="00F80F8D" w:rsidRDefault="00000000">
      <w:pPr>
        <w:spacing w:after="160"/>
        <w:jc w:val="both"/>
        <w:rPr>
          <w:lang w:val="en-US"/>
        </w:rPr>
      </w:pPr>
      <w:r>
        <w:t xml:space="preserve">Wickham, H., et al. (2019). </w:t>
      </w:r>
      <w:r w:rsidRPr="00F80F8D">
        <w:rPr>
          <w:lang w:val="en-US"/>
        </w:rPr>
        <w:t xml:space="preserve">Welcome to the </w:t>
      </w:r>
      <w:proofErr w:type="spellStart"/>
      <w:r w:rsidRPr="00F80F8D">
        <w:rPr>
          <w:lang w:val="en-US"/>
        </w:rPr>
        <w:t>tidyverse</w:t>
      </w:r>
      <w:proofErr w:type="spellEnd"/>
      <w:r w:rsidRPr="00F80F8D">
        <w:rPr>
          <w:lang w:val="en-US"/>
        </w:rPr>
        <w:t xml:space="preserve">. Journal of </w:t>
      </w:r>
      <w:proofErr w:type="gramStart"/>
      <w:r w:rsidRPr="00F80F8D">
        <w:rPr>
          <w:lang w:val="en-US"/>
        </w:rPr>
        <w:t>Open Source</w:t>
      </w:r>
      <w:proofErr w:type="gramEnd"/>
      <w:r w:rsidRPr="00F80F8D">
        <w:rPr>
          <w:lang w:val="en-US"/>
        </w:rPr>
        <w:t xml:space="preserve"> Software, 4(43), 1686. https://doi.org/10.21105/joss.01686</w:t>
      </w:r>
    </w:p>
    <w:p w14:paraId="7E5238E2" w14:textId="77777777" w:rsidR="004214D6" w:rsidRPr="00F80F8D" w:rsidRDefault="00000000">
      <w:pPr>
        <w:spacing w:after="160"/>
        <w:jc w:val="both"/>
        <w:rPr>
          <w:lang w:val="en-US"/>
        </w:rPr>
      </w:pPr>
      <w:proofErr w:type="spellStart"/>
      <w:r w:rsidRPr="00F80F8D">
        <w:rPr>
          <w:lang w:val="en-US"/>
        </w:rPr>
        <w:t>Zeileis</w:t>
      </w:r>
      <w:proofErr w:type="spellEnd"/>
      <w:r w:rsidRPr="00F80F8D">
        <w:rPr>
          <w:lang w:val="en-US"/>
        </w:rPr>
        <w:t xml:space="preserve">, A., &amp; </w:t>
      </w:r>
      <w:proofErr w:type="spellStart"/>
      <w:r w:rsidRPr="00F80F8D">
        <w:rPr>
          <w:lang w:val="en-US"/>
        </w:rPr>
        <w:t>Hothorn</w:t>
      </w:r>
      <w:proofErr w:type="spellEnd"/>
      <w:r w:rsidRPr="00F80F8D">
        <w:rPr>
          <w:lang w:val="en-US"/>
        </w:rPr>
        <w:t>, T. (2002). Diagnostic Checking in Regression Relationships. R News, 2(3), 7–10. https://CRAN.R-project.org/doc/Rnews/</w:t>
      </w:r>
    </w:p>
    <w:p w14:paraId="335D2E1A" w14:textId="77777777" w:rsidR="004214D6" w:rsidRDefault="00000000">
      <w:pPr>
        <w:spacing w:after="160"/>
        <w:jc w:val="both"/>
      </w:pPr>
      <w:r w:rsidRPr="00F80F8D">
        <w:rPr>
          <w:lang w:val="en-US"/>
        </w:rPr>
        <w:t xml:space="preserve">Fox, J., &amp; Weisberg, S. (2019). An R Companion to Applied Regression (3rd ed.). </w:t>
      </w:r>
      <w:r>
        <w:t xml:space="preserve">SAGE </w:t>
      </w:r>
      <w:proofErr w:type="spellStart"/>
      <w:r>
        <w:t>Publications</w:t>
      </w:r>
      <w:proofErr w:type="spellEnd"/>
      <w:r>
        <w:t>.</w:t>
      </w:r>
    </w:p>
    <w:sectPr w:rsidR="004214D6">
      <w:pgSz w:w="11906" w:h="16838"/>
      <w:pgMar w:top="1418" w:right="1134" w:bottom="141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54B1"/>
    <w:multiLevelType w:val="hybridMultilevel"/>
    <w:tmpl w:val="7876CAA8"/>
    <w:lvl w:ilvl="0" w:tplc="395CF3DE">
      <w:start w:val="1"/>
      <w:numFmt w:val="bullet"/>
      <w:lvlText w:val="●"/>
      <w:lvlJc w:val="left"/>
      <w:pPr>
        <w:ind w:left="720" w:hanging="360"/>
      </w:pPr>
    </w:lvl>
    <w:lvl w:ilvl="1" w:tplc="4C4202F2">
      <w:start w:val="1"/>
      <w:numFmt w:val="bullet"/>
      <w:lvlText w:val="○"/>
      <w:lvlJc w:val="left"/>
      <w:pPr>
        <w:ind w:left="1440" w:hanging="360"/>
      </w:pPr>
    </w:lvl>
    <w:lvl w:ilvl="2" w:tplc="6AB63CB4">
      <w:start w:val="1"/>
      <w:numFmt w:val="bullet"/>
      <w:lvlText w:val="■"/>
      <w:lvlJc w:val="left"/>
      <w:pPr>
        <w:ind w:left="2160" w:hanging="360"/>
      </w:pPr>
    </w:lvl>
    <w:lvl w:ilvl="3" w:tplc="2C8410A4">
      <w:start w:val="1"/>
      <w:numFmt w:val="bullet"/>
      <w:lvlText w:val="●"/>
      <w:lvlJc w:val="left"/>
      <w:pPr>
        <w:ind w:left="2880" w:hanging="360"/>
      </w:pPr>
    </w:lvl>
    <w:lvl w:ilvl="4" w:tplc="CD32ACEA">
      <w:start w:val="1"/>
      <w:numFmt w:val="bullet"/>
      <w:lvlText w:val="○"/>
      <w:lvlJc w:val="left"/>
      <w:pPr>
        <w:ind w:left="3600" w:hanging="360"/>
      </w:pPr>
    </w:lvl>
    <w:lvl w:ilvl="5" w:tplc="0D327E40">
      <w:start w:val="1"/>
      <w:numFmt w:val="bullet"/>
      <w:lvlText w:val="■"/>
      <w:lvlJc w:val="left"/>
      <w:pPr>
        <w:ind w:left="4320" w:hanging="360"/>
      </w:pPr>
    </w:lvl>
    <w:lvl w:ilvl="6" w:tplc="CC487D8E">
      <w:start w:val="1"/>
      <w:numFmt w:val="bullet"/>
      <w:lvlText w:val="●"/>
      <w:lvlJc w:val="left"/>
      <w:pPr>
        <w:ind w:left="5040" w:hanging="360"/>
      </w:pPr>
    </w:lvl>
    <w:lvl w:ilvl="7" w:tplc="31329F44">
      <w:start w:val="1"/>
      <w:numFmt w:val="bullet"/>
      <w:lvlText w:val="●"/>
      <w:lvlJc w:val="left"/>
      <w:pPr>
        <w:ind w:left="5760" w:hanging="360"/>
      </w:pPr>
    </w:lvl>
    <w:lvl w:ilvl="8" w:tplc="63008D50">
      <w:start w:val="1"/>
      <w:numFmt w:val="bullet"/>
      <w:lvlText w:val="●"/>
      <w:lvlJc w:val="left"/>
      <w:pPr>
        <w:ind w:left="6480" w:hanging="360"/>
      </w:pPr>
    </w:lvl>
  </w:abstractNum>
  <w:abstractNum w:abstractNumId="1" w15:restartNumberingAfterBreak="0">
    <w:nsid w:val="63F152DD"/>
    <w:multiLevelType w:val="hybridMultilevel"/>
    <w:tmpl w:val="5BCE7B3C"/>
    <w:lvl w:ilvl="0" w:tplc="3784542A">
      <w:start w:val="1"/>
      <w:numFmt w:val="bullet"/>
      <w:lvlText w:val="•"/>
      <w:lvlJc w:val="left"/>
      <w:pPr>
        <w:ind w:left="720" w:hanging="360"/>
      </w:pPr>
    </w:lvl>
    <w:lvl w:ilvl="1" w:tplc="39C21A7A">
      <w:numFmt w:val="decimal"/>
      <w:lvlText w:val=""/>
      <w:lvlJc w:val="left"/>
    </w:lvl>
    <w:lvl w:ilvl="2" w:tplc="30A48370">
      <w:numFmt w:val="decimal"/>
      <w:lvlText w:val=""/>
      <w:lvlJc w:val="left"/>
    </w:lvl>
    <w:lvl w:ilvl="3" w:tplc="EDC8BBB8">
      <w:numFmt w:val="decimal"/>
      <w:lvlText w:val=""/>
      <w:lvlJc w:val="left"/>
    </w:lvl>
    <w:lvl w:ilvl="4" w:tplc="F104B34C">
      <w:numFmt w:val="decimal"/>
      <w:lvlText w:val=""/>
      <w:lvlJc w:val="left"/>
    </w:lvl>
    <w:lvl w:ilvl="5" w:tplc="14FE9594">
      <w:numFmt w:val="decimal"/>
      <w:lvlText w:val=""/>
      <w:lvlJc w:val="left"/>
    </w:lvl>
    <w:lvl w:ilvl="6" w:tplc="B6765320">
      <w:numFmt w:val="decimal"/>
      <w:lvlText w:val=""/>
      <w:lvlJc w:val="left"/>
    </w:lvl>
    <w:lvl w:ilvl="7" w:tplc="70F25BFA">
      <w:numFmt w:val="decimal"/>
      <w:lvlText w:val=""/>
      <w:lvlJc w:val="left"/>
    </w:lvl>
    <w:lvl w:ilvl="8" w:tplc="0010BF94">
      <w:numFmt w:val="decimal"/>
      <w:lvlText w:val=""/>
      <w:lvlJc w:val="left"/>
    </w:lvl>
  </w:abstractNum>
  <w:num w:numId="1" w16cid:durableId="725563717">
    <w:abstractNumId w:val="0"/>
    <w:lvlOverride w:ilvl="0">
      <w:startOverride w:val="1"/>
    </w:lvlOverride>
  </w:num>
  <w:num w:numId="2" w16cid:durableId="1367943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4D6"/>
    <w:rsid w:val="001B6648"/>
    <w:rsid w:val="001D63C7"/>
    <w:rsid w:val="004214D6"/>
    <w:rsid w:val="00F80F8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0F93"/>
  <w15:docId w15:val="{596A1D11-F5C5-445F-8453-40080EB8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2360</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 - IND] Payano Linares, Wander Vladimir</cp:lastModifiedBy>
  <cp:revision>2</cp:revision>
  <dcterms:created xsi:type="dcterms:W3CDTF">2026-05-24T14:55:00Z</dcterms:created>
  <dcterms:modified xsi:type="dcterms:W3CDTF">2026-05-24T15:17:00Z</dcterms:modified>
</cp:coreProperties>
</file>