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B5E20"/>
          <w:sz w:val="40"/>
          <w:szCs w:val="40"/>
        </w:rPr>
        <w:t xml:space="preserve">Trader Performance vs. Bitcoin Market Sentiment</w:t>
      </w:r>
    </w:p>
    <w:p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 xml:space="preserve">An Analysis of Hyperliquid Trading Data Against the Fear &amp; Greed Index</w:t>
      </w:r>
    </w:p>
    <w:p>
      <w:pPr>
        <w:spacing w:after="500"/>
        <w:jc w:val="center"/>
      </w:pPr>
      <w:r>
        <w:rPr>
          <w:color w:val="777777"/>
          <w:sz w:val="20"/>
          <w:szCs w:val="20"/>
        </w:rPr>
        <w:t xml:space="preserve">PrimeTrade.ai — Data Science Hiring Assignment (Round 0)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60"/>
        <w:jc w:val="both"/>
      </w:pPr>
      <w:r>
        <w:t xml:space="preserve">This analysis explores the relationship between trader performance on Hyperliquid and the prevailing Bitcoin market sentiment, as measured by the Fear &amp; Greed Index. The goal is to uncover behavioral patterns that differentiate high-performing traders from the rest, and to surface insights that could inform smarter, sentiment-aware trading strategies.</w:t>
      </w:r>
    </w:p>
    <w:p>
      <w:pPr>
        <w:pStyle w:val="Heading1"/>
        <w:spacing w:after="150" w:before="300"/>
      </w:pPr>
      <w:r>
        <w:t xml:space="preserve">2. Data &amp; Methodology</w:t>
      </w:r>
    </w:p>
    <w:p>
      <w:pPr>
        <w:spacing w:after="160"/>
        <w:jc w:val="both"/>
      </w:pPr>
      <w:r>
        <w:t xml:space="preserve">Two datasets were used: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</w:rPr>
        <w:t xml:space="preserve">Historical Trader Data (Hyperliquid): individual trade-level records including account, execution price, position size, side, closed PnL, and timestamp.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</w:rPr>
        <w:t xml:space="preserve">Bitcoin Fear &amp; Greed Index: a daily sentiment score with five classifications — Extreme Fear, Fear, Neutral, Greed, and Extreme Greed.</w:t>
      </w:r>
    </w:p>
    <w:p>
      <w:pPr>
        <w:spacing w:after="160"/>
        <w:jc w:val="both"/>
      </w:pPr>
      <w:r>
        <w:t xml:space="preserve">The two datasets were merged on a common calendar date. During this step, the trader dataset's raw millisecond epoch timestamp was validated against its parallel human-readable IST timestamp column to confirm correct date alignment before merging — an important check, since a naive conversion of the epoch field alone produced a mismatched date range. After alignment, 211,224 of 211,230 trade records (99.997%) matched to a sentiment classification.</w:t>
      </w:r>
    </w:p>
    <w:p>
      <w:pPr>
        <w:spacing w:after="160"/>
        <w:jc w:val="both"/>
      </w:pPr>
      <w:r>
        <w:t xml:space="preserve">A trade was defined as a "win" if Closed PnL &gt; 0. Traders were ranked by total realized PnL across the full period, and the top 10% by cumulative PnL were isolated as an "elite" cohort for comparison against the remaining 90%.</w:t>
      </w:r>
    </w:p>
    <w:p>
      <w:pPr>
        <w:pStyle w:val="Heading1"/>
        <w:spacing w:after="150" w:before="300"/>
      </w:pPr>
      <w:r>
        <w:t xml:space="preserve">3. Overall Performance by Market Sentiment</w:t>
      </w:r>
    </w:p>
    <w:p>
      <w:pPr>
        <w:spacing w:after="160"/>
        <w:jc w:val="both"/>
      </w:pPr>
      <w:r>
        <w:t xml:space="preserve">Across all traders, win rate and profitability both varied meaningfully with sentiment regime: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2200"/>
        <w:gridCol w:w="1700"/>
      </w:tblGrid>
      <w:tr>
        <w:tc>
          <w:tcPr>
            <w:tcW w:type="dxa" w:w="2200"/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Sentiment</w:t>
            </w:r>
          </w:p>
        </w:tc>
        <w:tc>
          <w:tcPr>
            <w:tcW w:type="dxa" w:w="1800"/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 Trades</w:t>
            </w:r>
          </w:p>
        </w:tc>
        <w:tc>
          <w:tcPr>
            <w:tcW w:type="dxa" w:w="1600"/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Avg PnL ($)</w:t>
            </w:r>
          </w:p>
        </w:tc>
        <w:tc>
          <w:tcPr>
            <w:tcW w:type="dxa" w:w="2200"/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Avg Trade Size ($)</w:t>
            </w:r>
          </w:p>
        </w:tc>
        <w:tc>
          <w:tcPr>
            <w:tcW w:type="dxa" w:w="1700"/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Win Rate (%)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Extreme Fear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21,400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34.54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5,349.73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37.06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Fear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61,837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54.29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7,816.11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42.08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Neutral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37,686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34.31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4,782.73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39.70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Greed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50,303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42.74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5,736.88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38.48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Extreme Greed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39,992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67.89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3,112.25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46.49</w:t>
            </w:r>
          </w:p>
        </w:tc>
      </w:tr>
    </w:tbl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t xml:space="preserve">Win rate is highest during Extreme Greed (46.5%) and lowest during Extreme Fear (37.1%), consistent with the intuition that trending, momentum-driven markets are easier to trade profitably on a per-trade basis. Interestingly, average trade size peaks during Fear (not Extreme Fear or Greed), suggesting traders scale up conviction during moderate fear — a pattern consistent with contrarian dip-buying behavior.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Elite Traders (Top 10%) vs. The Rest</w:t>
      </w:r>
    </w:p>
    <w:p>
      <w:pPr>
        <w:spacing w:after="160"/>
        <w:jc w:val="both"/>
      </w:pPr>
      <w:r>
        <w:t xml:space="preserve">Isolating the top 10% of traders by total realized PnL reveals a sharper story than sentiment alone: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1700"/>
        <w:gridCol w:w="2200"/>
        <w:gridCol w:w="1900"/>
      </w:tblGrid>
      <w:tr>
        <w:tc>
          <w:tcPr>
            <w:tcW w:type="dxa" w:w="1600"/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100"/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Sentiment</w:t>
            </w:r>
          </w:p>
        </w:tc>
        <w:tc>
          <w:tcPr>
            <w:tcW w:type="dxa" w:w="1700"/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Avg PnL ($)</w:t>
            </w:r>
          </w:p>
        </w:tc>
        <w:tc>
          <w:tcPr>
            <w:tcW w:type="dxa" w:w="2200"/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Avg Trade Size ($)</w:t>
            </w:r>
          </w:p>
        </w:tc>
        <w:tc>
          <w:tcPr>
            <w:tcW w:type="dxa" w:w="1900"/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Win Rate (%)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Other 90%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Extreme Fear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26.31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5,622.79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37.24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Other 90%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Fear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30.09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4,722.24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40.60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Other 90%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Neutral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12.11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3,117.98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37.02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Other 90%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Greed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28.93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2,990.48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40.48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Other 90%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Extreme Greed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44.38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2,882.13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47.59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Top 10%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Extreme Fear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57.39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4,591.30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36.58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Top 10%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Fear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94.59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12,968.25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44.53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Top 10%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Neutral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90.54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9,000.58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46.49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Top 10%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Greed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101.05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17,326.10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30.04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Top 10%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Extreme Greed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378.88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6,156.07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32.05</w:t>
            </w:r>
          </w:p>
        </w:tc>
      </w:tr>
    </w:tbl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5. Key Insights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Elite traders win big, not often. In Greed and Extreme Greed regimes, the Top 10% cohort actually has a LOWER win rate than the Other 90% (30.0% vs 40.5%, and 32.1% vs 47.6%, respectively) — yet their average PnL per trade is 3.5x to 8.5x higher. This is the signature of asymmetric position sizing: letting winning trades run and cutting losers quickly, rather than optimizing for hit rate.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Conviction scales with trade size, not just frequency. The Top 10%'s average trade size during Greed ($17,326) is nearly 6x the Other 90%'s ($2,990). Elite traders appear to concentrate capital into higher-conviction setups during trending markets rather than spreading risk evenly.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The edge compresses during Extreme Fear. This is the one regime where Top 10% and Other 90% win rates converge (36.6% vs 37.2%) — suggesting that even skilled traders struggle to find a statistical edge in genuinely panicked markets. Their PnL advantage here (57.39 vs 26.31) still holds, but is driven more by capital preservation and sizing discipline than by superior trade selection.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Extreme Greed offers the single best risk-adjusted opportunity for skilled traders. The Top 10%'s average PnL of $378.88 in Extreme Greed dwarfs every other combination in the dataset — nearly 4x their next-best regime (Fear, $94.59) — despite a relatively modest trade size, implying the edge here comes from trade selection and timing rather than sheer capital deployed.</w:t>
      </w:r>
    </w:p>
    <w:p>
      <w:pPr>
        <w:pStyle w:val="Heading1"/>
        <w:spacing w:after="150" w:before="300"/>
      </w:pPr>
      <w:r>
        <w:t xml:space="preserve">6. Strategic Recommendations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</w:rPr>
        <w:t xml:space="preserve">Use sentiment as a position-sizing signal, not just a directional one. The data suggests conviction-weighted sizing (larger positions in Fear/Greed extremes where the elite cohort's edge is clearest) outperforms uniform sizing across regimes.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</w:rPr>
        <w:t xml:space="preserve">Treat Extreme Fear as a capital-preservation regime. With win rates converging across skill tiers, this is where risk controls (tighter stop-losses, reduced size) likely matter more than aggressive trade-picking.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</w:rPr>
        <w:t xml:space="preserve">Investigate the Extreme Greed opportunity further. Given the outsized PnL edge for top traders at moderate trade sizes, a follow-up analysis of holding periods and entry/exit timing in this regime specifically could isolate the exact mechanism driving the outperformance.</w:t>
      </w:r>
    </w:p>
    <w:p>
      <w:pPr>
        <w:pStyle w:val="Heading1"/>
        <w:spacing w:after="150" w:before="300"/>
      </w:pPr>
      <w:r>
        <w:t xml:space="preserve">7. Limitations</w:t>
      </w:r>
    </w:p>
    <w:p>
      <w:pPr>
        <w:spacing w:after="160"/>
        <w:jc w:val="both"/>
      </w:pPr>
      <w:r>
        <w:t xml:space="preserve">This analysis merges data at the daily level, so intraday sentiment shifts are not captured. The 'Top 10%' cohort is defined by total cumulative PnL, which can be influenced by account longevity and capital base rather than skill alone. Leverage and position-holding duration were not available in this dataset and would meaningfully deepen the asymmetric-sizing hypothesis if incorporated in future work.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c07955cc5d59056ef78e33b4f9e0dd81a1b38a.png"/><Relationship Id="rId8" Type="http://schemas.openxmlformats.org/officeDocument/2006/relationships/image" Target="media/877b598d9aa0345b23faa5121a332f0e6c30b232.png"/><Relationship Id="rId9" Type="http://schemas.openxmlformats.org/officeDocument/2006/relationships/image" Target="media/b4191eac2809819147bd570f95459078adf823d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2026-07-03T10:02:51.576Z</dcterms:created>
  <dcterms:modified xsi:type="dcterms:W3CDTF">2026-07-03T10:02:51.576Z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