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60"/>
        <w:jc w:val="center"/>
      </w:pPr>
      <w:r>
        <w:rPr>
          <w:rFonts w:ascii="Arial" w:cs="Arial" w:eastAsia="Arial" w:hAnsi="Arial"/>
          <w:b/>
          <w:bCs/>
          <w:color w:val="1B3A6B"/>
          <w:sz w:val="80"/>
          <w:szCs w:val="80"/>
        </w:rPr>
        <w:t xml:space="preserve">FinPilot</w:t>
      </w:r>
    </w:p>
    <w:p>
      <w:pPr>
        <w:spacing w:before="0" w:after="60"/>
        <w:jc w:val="center"/>
      </w:pPr>
      <w:r>
        <w:rPr>
          <w:rFonts w:ascii="Arial" w:cs="Arial" w:eastAsia="Arial" w:hAnsi="Arial"/>
          <w:color w:val="2E5FA3"/>
          <w:sz w:val="34"/>
          <w:szCs w:val="34"/>
        </w:rPr>
        <w:t xml:space="preserve">AI-Powered Investment Analysis Platform</w:t>
      </w:r>
    </w:p>
    <w:p>
      <w:pPr>
        <w:pBdr>
          <w:bottom w:val="single" w:color="C8A415" w:sz="12" w:space="6"/>
        </w:pBdr>
        <w:spacing w:before="0" w:after="300"/>
        <w:jc w:val="center"/>
      </w:pPr>
      <w:r>
        <w:rPr>
          <w:rFonts w:ascii="Arial" w:cs="Arial" w:eastAsia="Arial" w:hAnsi="Arial"/>
          <w:b/>
          <w:bCs/>
          <w:color w:val="5A6A82"/>
          <w:sz w:val="30"/>
          <w:szCs w:val="30"/>
        </w:rPr>
        <w:t xml:space="preserve">Business Plan  2026</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shd w:fill="D6E4F7" w:val="clear"/>
            <w:tcMar>
              <w:top w:type="dxa" w:w="300"/>
              <w:left w:type="dxa" w:w="400"/>
              <w:bottom w:type="dxa" w:w="300"/>
              <w:right w:type="dxa" w:w="400"/>
            </w:tcMar>
          </w:tcPr>
          <w:p>
            <w:r>
              <w:rPr>
                <w:rFonts w:ascii="Arial" w:cs="Arial" w:eastAsia="Arial" w:hAnsi="Arial"/>
                <w:b/>
                <w:bCs/>
                <w:color w:val="5A6A82"/>
                <w:sz w:val="20"/>
                <w:szCs w:val="20"/>
              </w:rPr>
              <w:t xml:space="preserve">Document Type</w:t>
            </w:r>
          </w:p>
          <w:p>
            <w:r>
              <w:rPr>
                <w:rFonts w:ascii="Arial" w:cs="Arial" w:eastAsia="Arial" w:hAnsi="Arial"/>
                <w:color w:val="1B3A6B"/>
                <w:sz w:val="22"/>
                <w:szCs w:val="22"/>
              </w:rPr>
              <w:t xml:space="preserve">Business Plan (Grant Applications)</w:t>
            </w:r>
          </w:p>
          <w:p>
            <w:pPr>
              <w:spacing w:after="120"/>
            </w:pPr>
            <w:r>
              <w:t xml:space="preserve"/>
            </w:r>
          </w:p>
          <w:p>
            <w:r>
              <w:rPr>
                <w:rFonts w:ascii="Arial" w:cs="Arial" w:eastAsia="Arial" w:hAnsi="Arial"/>
                <w:b/>
                <w:bCs/>
                <w:color w:val="5A6A82"/>
                <w:sz w:val="20"/>
                <w:szCs w:val="20"/>
              </w:rPr>
              <w:t xml:space="preserve">Version</w:t>
            </w:r>
          </w:p>
          <w:p>
            <w:r>
              <w:rPr>
                <w:rFonts w:ascii="Arial" w:cs="Arial" w:eastAsia="Arial" w:hAnsi="Arial"/>
                <w:color w:val="1B3A6B"/>
                <w:sz w:val="22"/>
                <w:szCs w:val="22"/>
              </w:rPr>
              <w:t xml:space="preserve">1.0  —  March 2026</w:t>
            </w:r>
          </w:p>
        </w:tc>
        <w:tc>
          <w:tcPr>
            <w:tcW w:type="dxa" w:w="4513"/>
            <w:tcBorders>
              <w:top w:val="none" w:color="FFFFFF" w:sz="0"/>
              <w:left w:val="none" w:color="FFFFFF" w:sz="0"/>
              <w:bottom w:val="none" w:color="FFFFFF" w:sz="0"/>
              <w:right w:val="none" w:color="FFFFFF" w:sz="0"/>
            </w:tcBorders>
            <w:shd w:fill="F4F6FA" w:val="clear"/>
            <w:tcMar>
              <w:top w:type="dxa" w:w="300"/>
              <w:left w:type="dxa" w:w="400"/>
              <w:bottom w:type="dxa" w:w="300"/>
              <w:right w:type="dxa" w:w="400"/>
            </w:tcMar>
          </w:tcPr>
          <w:p>
            <w:r>
              <w:rPr>
                <w:rFonts w:ascii="Arial" w:cs="Arial" w:eastAsia="Arial" w:hAnsi="Arial"/>
                <w:b/>
                <w:bCs/>
                <w:color w:val="5A6A82"/>
                <w:sz w:val="20"/>
                <w:szCs w:val="20"/>
              </w:rPr>
              <w:t xml:space="preserve">Target Programs</w:t>
            </w:r>
          </w:p>
          <w:p>
            <w:r>
              <w:rPr>
                <w:rFonts w:ascii="Arial" w:cs="Arial" w:eastAsia="Arial" w:hAnsi="Arial"/>
                <w:color w:val="1A1A1A"/>
                <w:sz w:val="20"/>
                <w:szCs w:val="20"/>
              </w:rPr>
              <w:t xml:space="preserve">• FFG Basisprogramm 2026</w:t>
            </w:r>
          </w:p>
          <w:p>
            <w:r>
              <w:rPr>
                <w:rFonts w:ascii="Arial" w:cs="Arial" w:eastAsia="Arial" w:hAnsi="Arial"/>
                <w:color w:val="1A1A1A"/>
                <w:sz w:val="20"/>
                <w:szCs w:val="20"/>
              </w:rPr>
              <w:t xml:space="preserve">• aws Gründungsfonds II</w:t>
            </w:r>
          </w:p>
          <w:p>
            <w:r>
              <w:rPr>
                <w:rFonts w:ascii="Arial" w:cs="Arial" w:eastAsia="Arial" w:hAnsi="Arial"/>
                <w:color w:val="1A1A1A"/>
                <w:sz w:val="20"/>
                <w:szCs w:val="20"/>
              </w:rPr>
              <w:t xml:space="preserve">• EIC Accelerator 2026</w:t>
            </w:r>
          </w:p>
          <w:p>
            <w:r>
              <w:rPr>
                <w:rFonts w:ascii="Arial" w:cs="Arial" w:eastAsia="Arial" w:hAnsi="Arial"/>
                <w:color w:val="1A1A1A"/>
                <w:sz w:val="20"/>
                <w:szCs w:val="20"/>
              </w:rPr>
              <w:t xml:space="preserve">• NSF SBIR Phase I</w:t>
            </w:r>
          </w:p>
          <w:p>
            <w:r>
              <w:rPr>
                <w:rFonts w:ascii="Arial" w:cs="Arial" w:eastAsia="Arial" w:hAnsi="Arial"/>
                <w:color w:val="1A1A1A"/>
                <w:sz w:val="20"/>
                <w:szCs w:val="20"/>
              </w:rPr>
              <w:t xml:space="preserve">• riz-up GENIUS 2026</w:t>
            </w:r>
          </w:p>
        </w:tc>
      </w:tr>
    </w:tbl>
    <w:p>
      <w:pPr>
        <w:spacing w:after="120"/>
      </w:pPr>
      <w:r>
        <w:t xml:space="preserve"/>
      </w:r>
    </w:p>
    <w:p>
      <w:pPr>
        <w:pBdr>
          <w:top w:val="single" w:color="C8A415" w:sz="4" w:space="6"/>
        </w:pBdr>
        <w:spacing w:before="200"/>
        <w:jc w:val="center"/>
      </w:pPr>
      <w:r>
        <w:rPr>
          <w:rFonts w:ascii="Arial" w:cs="Arial" w:eastAsia="Arial" w:hAnsi="Arial"/>
          <w:i/>
          <w:iCs/>
          <w:color w:val="5A6A82"/>
          <w:sz w:val="18"/>
          <w:szCs w:val="18"/>
        </w:rPr>
        <w:t xml:space="preserve">CONFIDENTIAL  —  For grant evaluation and investor review purposes only</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B3A6B" w:sz="8" w:space="4"/>
        </w:pBdr>
        <w:spacing w:before="360" w:after="120"/>
      </w:pPr>
      <w:r>
        <w:rPr>
          <w:rFonts w:ascii="Arial" w:cs="Arial" w:eastAsia="Arial" w:hAnsi="Arial"/>
          <w:b/>
          <w:bCs/>
          <w:color w:val="1B3A6B"/>
          <w:sz w:val="28"/>
          <w:szCs w:val="28"/>
        </w:rPr>
        <w:t xml:space="preserve">1. Company Overview</w:t>
      </w:r>
    </w:p>
    <w:p>
      <w:pPr>
        <w:spacing w:after="120"/>
      </w:pPr>
      <w:r>
        <w:rPr>
          <w:rFonts w:ascii="Arial" w:cs="Arial" w:eastAsia="Arial" w:hAnsi="Arial"/>
          <w:color w:val="1A1A1A"/>
          <w:sz w:val="22"/>
          <w:szCs w:val="22"/>
        </w:rPr>
        <w:t xml:space="preserve">FinPilot is an AI-powered investment intelligence platform developed in Gänserndorf, Lower Austria. The platform combines Deep Reinforcement Learning (DRL) agents with a multi-provider Large Language Model (LLM) router to deliver automated stock analysis across 1,148 NASDAQ symbols spanning 11 market sectors.</w:t>
      </w:r>
    </w:p>
    <w:p>
      <w:pPr>
        <w:spacing w:after="120"/>
      </w:pPr>
      <w:r>
        <w:t xml:space="preserve"/>
      </w:r>
    </w:p>
    <w:p>
      <w:pPr>
        <w:pStyle w:val="Heading2"/>
        <w:spacing w:before="240" w:after="80"/>
      </w:pPr>
      <w:r>
        <w:rPr>
          <w:rFonts w:ascii="Arial" w:cs="Arial" w:eastAsia="Arial" w:hAnsi="Arial"/>
          <w:b/>
          <w:bCs/>
          <w:color w:val="2E5FA3"/>
          <w:sz w:val="24"/>
          <w:szCs w:val="24"/>
        </w:rPr>
        <w:t xml:space="preserve">1.1 Mission Statement</w:t>
      </w:r>
    </w:p>
    <w:p>
      <w:pPr>
        <w:spacing w:after="120"/>
      </w:pPr>
      <w:r>
        <w:rPr>
          <w:rFonts w:ascii="Arial" w:cs="Arial" w:eastAsia="Arial" w:hAnsi="Arial"/>
          <w:color w:val="1A1A1A"/>
          <w:sz w:val="22"/>
          <w:szCs w:val="22"/>
        </w:rPr>
        <w:t xml:space="preserve">To democratise algorithmic investment analysis by making institutional-grade AI technology accessible to individual investors, small funds, and fintech developers — at a fraction of the cost of legacy solutions.</w:t>
      </w:r>
    </w:p>
    <w:p>
      <w:pPr>
        <w:spacing w:after="120"/>
      </w:pPr>
      <w:r>
        <w:t xml:space="preserve"/>
      </w:r>
    </w:p>
    <w:p>
      <w:pPr>
        <w:pStyle w:val="Heading2"/>
        <w:spacing w:before="240" w:after="80"/>
      </w:pPr>
      <w:r>
        <w:rPr>
          <w:rFonts w:ascii="Arial" w:cs="Arial" w:eastAsia="Arial" w:hAnsi="Arial"/>
          <w:b/>
          <w:bCs/>
          <w:color w:val="2E5FA3"/>
          <w:sz w:val="24"/>
          <w:szCs w:val="24"/>
        </w:rPr>
        <w:t xml:space="preserve">1.2 Company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Field</w:t>
            </w:r>
          </w:p>
        </w:tc>
        <w:tc>
          <w:tcPr>
            <w:tcW w:type="dxa" w:w="6026"/>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Company Name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FinPilot</w:t>
            </w:r>
          </w:p>
        </w:tc>
      </w:tr>
      <w:tr>
        <w:tc>
          <w:tcPr>
            <w:tcW w:type="dxa" w:w="30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Location</w:t>
            </w:r>
          </w:p>
        </w:tc>
        <w:tc>
          <w:tcPr>
            <w:tcW w:type="dxa" w:w="60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Gänserndorf, Niederösterreich, Austria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Founded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2024 (Sprint 1)</w:t>
            </w:r>
          </w:p>
        </w:tc>
      </w:tr>
      <w:tr>
        <w:tc>
          <w:tcPr>
            <w:tcW w:type="dxa" w:w="30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Current Stage</w:t>
            </w:r>
          </w:p>
        </w:tc>
        <w:tc>
          <w:tcPr>
            <w:tcW w:type="dxa" w:w="60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Sprint 22 — Advanced Prototype / Pre-Revenue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Platform Version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v1.7.0</w:t>
            </w:r>
          </w:p>
        </w:tc>
      </w:tr>
      <w:tr>
        <w:tc>
          <w:tcPr>
            <w:tcW w:type="dxa" w:w="30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Contact</w:t>
            </w:r>
          </w:p>
        </w:tc>
        <w:tc>
          <w:tcPr>
            <w:tcW w:type="dxa" w:w="60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mericbsk@gmail.com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Legal Form</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To be established (GmbH / Einzelunternehmen)</w:t>
            </w:r>
          </w:p>
        </w:tc>
      </w:tr>
      <w:tr>
        <w:tc>
          <w:tcPr>
            <w:tcW w:type="dxa" w:w="30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Target Markets</w:t>
            </w:r>
          </w:p>
        </w:tc>
        <w:tc>
          <w:tcPr>
            <w:tcW w:type="dxa" w:w="60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Austria, European Union, United States</w:t>
            </w:r>
          </w:p>
        </w:tc>
      </w:tr>
    </w:tbl>
    <w:p>
      <w:pPr>
        <w:spacing w:after="120"/>
      </w:pPr>
      <w:r>
        <w:t xml:space="preserve"/>
      </w:r>
    </w:p>
    <w:p>
      <w:pPr>
        <w:pStyle w:val="Heading2"/>
        <w:spacing w:before="240" w:after="80"/>
      </w:pPr>
      <w:r>
        <w:rPr>
          <w:rFonts w:ascii="Arial" w:cs="Arial" w:eastAsia="Arial" w:hAnsi="Arial"/>
          <w:b/>
          <w:bCs/>
          <w:color w:val="2E5FA3"/>
          <w:sz w:val="24"/>
          <w:szCs w:val="24"/>
        </w:rPr>
        <w:t xml:space="preserve">1.3 Development History</w:t>
      </w:r>
    </w:p>
    <w:p>
      <w:pPr>
        <w:spacing w:after="120"/>
      </w:pPr>
      <w:r>
        <w:rPr>
          <w:rFonts w:ascii="Arial" w:cs="Arial" w:eastAsia="Arial" w:hAnsi="Arial"/>
          <w:color w:val="1A1A1A"/>
          <w:sz w:val="22"/>
          <w:szCs w:val="22"/>
        </w:rPr>
        <w:t xml:space="preserve">FinPilot has been developed through a rigorous sprint-based methodology, with 22 completed development cycles. Each sprint delivered tangible, testable functionality:</w:t>
      </w:r>
    </w:p>
    <w:p>
      <w:pPr>
        <w:pStyle w:val="ListParagraph"/>
        <w:numPr>
          <w:ilvl w:val="0"/>
          <w:numId w:val="2"/>
        </w:numPr>
        <w:spacing w:after="80"/>
      </w:pPr>
      <w:r>
        <w:rPr>
          <w:rFonts w:ascii="Arial" w:cs="Arial" w:eastAsia="Arial" w:hAnsi="Arial"/>
          <w:color w:val="1A1A1A"/>
          <w:sz w:val="22"/>
          <w:szCs w:val="22"/>
        </w:rPr>
        <w:t xml:space="preserve">Sprints 1–8: Core scanner, data pipeline, Streamlit dashboard, Telegram notifications.</w:t>
      </w:r>
    </w:p>
    <w:p>
      <w:pPr>
        <w:pStyle w:val="ListParagraph"/>
        <w:numPr>
          <w:ilvl w:val="0"/>
          <w:numId w:val="2"/>
        </w:numPr>
        <w:spacing w:after="80"/>
      </w:pPr>
      <w:r>
        <w:rPr>
          <w:rFonts w:ascii="Arial" w:cs="Arial" w:eastAsia="Arial" w:hAnsi="Arial"/>
          <w:color w:val="1A1A1A"/>
          <w:sz w:val="22"/>
          <w:szCs w:val="22"/>
        </w:rPr>
        <w:t xml:space="preserve">Sprints 9–14: DRL agent training (PPO/SAC/TD3/A2C), walk-forward validation, model registry.</w:t>
      </w:r>
    </w:p>
    <w:p>
      <w:pPr>
        <w:pStyle w:val="ListParagraph"/>
        <w:numPr>
          <w:ilvl w:val="0"/>
          <w:numId w:val="2"/>
        </w:numPr>
        <w:spacing w:after="80"/>
      </w:pPr>
      <w:r>
        <w:rPr>
          <w:rFonts w:ascii="Arial" w:cs="Arial" w:eastAsia="Arial" w:hAnsi="Arial"/>
          <w:color w:val="1A1A1A"/>
          <w:sz w:val="22"/>
          <w:szCs w:val="22"/>
        </w:rPr>
        <w:t xml:space="preserve">Sprints 15–18: Reward shaping, curriculum learning, PilotShield risk control, Optuna HPO.</w:t>
      </w:r>
    </w:p>
    <w:p>
      <w:pPr>
        <w:pStyle w:val="ListParagraph"/>
        <w:numPr>
          <w:ilvl w:val="0"/>
          <w:numId w:val="2"/>
        </w:numPr>
        <w:spacing w:after="80"/>
      </w:pPr>
      <w:r>
        <w:rPr>
          <w:rFonts w:ascii="Arial" w:cs="Arial" w:eastAsia="Arial" w:hAnsi="Arial"/>
          <w:color w:val="1A1A1A"/>
          <w:sz w:val="22"/>
          <w:szCs w:val="22"/>
        </w:rPr>
        <w:t xml:space="preserve">Sprints 19–22: LLM Router (Groq→Claude→Gemini), FastAPI backend, JWT auth, PostgreSQL migration, CI/CD hardening.</w:t>
      </w:r>
    </w:p>
    <w:p>
      <w:pPr>
        <w:spacing w:after="120"/>
      </w:pPr>
      <w:r>
        <w:t xml:space="preserve"/>
      </w:r>
    </w:p>
    <w:p>
      <w:r>
        <w:br w:type="page"/>
      </w:r>
    </w:p>
    <w:p>
      <w:pPr>
        <w:pStyle w:val="Heading1"/>
        <w:pBdr>
          <w:bottom w:val="single" w:color="1B3A6B" w:sz="8" w:space="4"/>
        </w:pBdr>
        <w:spacing w:before="360" w:after="120"/>
      </w:pPr>
      <w:r>
        <w:rPr>
          <w:rFonts w:ascii="Arial" w:cs="Arial" w:eastAsia="Arial" w:hAnsi="Arial"/>
          <w:b/>
          <w:bCs/>
          <w:color w:val="1B3A6B"/>
          <w:sz w:val="28"/>
          <w:szCs w:val="28"/>
        </w:rPr>
        <w:t xml:space="preserve">2. Problem &amp; Solution</w:t>
      </w:r>
    </w:p>
    <w:p>
      <w:pPr>
        <w:pStyle w:val="Heading2"/>
        <w:spacing w:before="240" w:after="80"/>
      </w:pPr>
      <w:r>
        <w:rPr>
          <w:rFonts w:ascii="Arial" w:cs="Arial" w:eastAsia="Arial" w:hAnsi="Arial"/>
          <w:b/>
          <w:bCs/>
          <w:color w:val="2E5FA3"/>
          <w:sz w:val="24"/>
          <w:szCs w:val="24"/>
        </w:rPr>
        <w:t xml:space="preserve">2.1 The Problem</w:t>
      </w:r>
    </w:p>
    <w:p>
      <w:pPr>
        <w:spacing w:after="120"/>
      </w:pPr>
      <w:r>
        <w:rPr>
          <w:rFonts w:ascii="Arial" w:cs="Arial" w:eastAsia="Arial" w:hAnsi="Arial"/>
          <w:color w:val="1A1A1A"/>
          <w:sz w:val="22"/>
          <w:szCs w:val="22"/>
        </w:rPr>
        <w:t xml:space="preserve">Retail investors face a fundamental information asymmetry compared to institutional players. While hedge funds and investment banks deploy sophisticated algorithmic tools, individual investors are left with basic charting applications that provide indicators but not intelligent decision support.</w:t>
      </w:r>
    </w:p>
    <w:p>
      <w:pPr>
        <w:spacing w:after="120"/>
      </w:pPr>
      <w:r>
        <w:t xml:space="preserve"/>
      </w:r>
    </w:p>
    <w:p>
      <w:pPr>
        <w:pStyle w:val="Heading3"/>
        <w:spacing w:before="180" w:after="60"/>
      </w:pPr>
      <w:r>
        <w:rPr>
          <w:rFonts w:ascii="Arial" w:cs="Arial" w:eastAsia="Arial" w:hAnsi="Arial"/>
          <w:b/>
          <w:bCs/>
          <w:color w:val="5A6A82"/>
          <w:sz w:val="22"/>
          <w:szCs w:val="22"/>
        </w:rPr>
        <w:t xml:space="preserve">Key Pain Points</w:t>
      </w:r>
    </w:p>
    <w:p>
      <w:pPr>
        <w:pStyle w:val="ListParagraph"/>
        <w:numPr>
          <w:ilvl w:val="0"/>
          <w:numId w:val="2"/>
        </w:numPr>
        <w:spacing w:after="80"/>
      </w:pPr>
      <w:r>
        <w:rPr>
          <w:rFonts w:ascii="Arial" w:cs="Arial" w:eastAsia="Arial" w:hAnsi="Arial"/>
          <w:color w:val="1A1A1A"/>
          <w:sz w:val="22"/>
          <w:szCs w:val="22"/>
        </w:rPr>
        <w:t xml:space="preserve">Cost barrier: Professional systems (Bloomberg Terminal €25K/year, FactSet €30K/year) are inaccessible to 99% of retail investors.</w:t>
      </w:r>
    </w:p>
    <w:p>
      <w:pPr>
        <w:pStyle w:val="ListParagraph"/>
        <w:numPr>
          <w:ilvl w:val="0"/>
          <w:numId w:val="2"/>
        </w:numPr>
        <w:spacing w:after="80"/>
      </w:pPr>
      <w:r>
        <w:rPr>
          <w:rFonts w:ascii="Arial" w:cs="Arial" w:eastAsia="Arial" w:hAnsi="Arial"/>
          <w:color w:val="1A1A1A"/>
          <w:sz w:val="22"/>
          <w:szCs w:val="22"/>
        </w:rPr>
        <w:t xml:space="preserve">Complexity barrier: Existing algorithmic tools (QuantConnect, Zipline) require advanced programming skills.</w:t>
      </w:r>
    </w:p>
    <w:p>
      <w:pPr>
        <w:pStyle w:val="ListParagraph"/>
        <w:numPr>
          <w:ilvl w:val="0"/>
          <w:numId w:val="2"/>
        </w:numPr>
        <w:spacing w:after="80"/>
      </w:pPr>
      <w:r>
        <w:rPr>
          <w:rFonts w:ascii="Arial" w:cs="Arial" w:eastAsia="Arial" w:hAnsi="Arial"/>
          <w:color w:val="1A1A1A"/>
          <w:sz w:val="22"/>
          <w:szCs w:val="22"/>
        </w:rPr>
        <w:t xml:space="preserve">Information overload: Over 5,000 tradeable symbols on major exchanges; manual analysis is impossible.</w:t>
      </w:r>
    </w:p>
    <w:p>
      <w:pPr>
        <w:pStyle w:val="ListParagraph"/>
        <w:numPr>
          <w:ilvl w:val="0"/>
          <w:numId w:val="2"/>
        </w:numPr>
        <w:spacing w:after="80"/>
      </w:pPr>
      <w:r>
        <w:rPr>
          <w:rFonts w:ascii="Arial" w:cs="Arial" w:eastAsia="Arial" w:hAnsi="Arial"/>
          <w:color w:val="1A1A1A"/>
          <w:sz w:val="22"/>
          <w:szCs w:val="22"/>
        </w:rPr>
        <w:t xml:space="preserve">No adaptive learning: Static rule-based indicators do not learn from market regime changes.</w:t>
      </w:r>
    </w:p>
    <w:p>
      <w:pPr>
        <w:pStyle w:val="ListParagraph"/>
        <w:numPr>
          <w:ilvl w:val="0"/>
          <w:numId w:val="2"/>
        </w:numPr>
        <w:spacing w:after="80"/>
      </w:pPr>
      <w:r>
        <w:rPr>
          <w:rFonts w:ascii="Arial" w:cs="Arial" w:eastAsia="Arial" w:hAnsi="Arial"/>
          <w:color w:val="1A1A1A"/>
          <w:sz w:val="22"/>
          <w:szCs w:val="22"/>
        </w:rPr>
        <w:t xml:space="preserve">Fragmented intelligence: Technical analysis, fundamental data, sentiment, and on-chain signals exist in separate silos.</w:t>
      </w:r>
    </w:p>
    <w:p>
      <w:pPr>
        <w:spacing w:after="120"/>
      </w:pPr>
      <w:r>
        <w:t xml:space="preserve"/>
      </w:r>
    </w:p>
    <w:p>
      <w:pPr>
        <w:pStyle w:val="Heading2"/>
        <w:spacing w:before="240" w:after="80"/>
      </w:pPr>
      <w:r>
        <w:rPr>
          <w:rFonts w:ascii="Arial" w:cs="Arial" w:eastAsia="Arial" w:hAnsi="Arial"/>
          <w:b/>
          <w:bCs/>
          <w:color w:val="2E5FA3"/>
          <w:sz w:val="24"/>
          <w:szCs w:val="24"/>
        </w:rPr>
        <w:t xml:space="preserve">2.2 Our Solution</w:t>
      </w:r>
    </w:p>
    <w:p>
      <w:pPr>
        <w:spacing w:after="120"/>
      </w:pPr>
      <w:r>
        <w:rPr>
          <w:rFonts w:ascii="Arial" w:cs="Arial" w:eastAsia="Arial" w:hAnsi="Arial"/>
          <w:color w:val="1A1A1A"/>
          <w:sz w:val="22"/>
          <w:szCs w:val="22"/>
        </w:rPr>
        <w:t xml:space="preserve">FinPilot integrates five previously fragmented intelligence layers into a single, automated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2726"/>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Intelligence Layer</w:t>
            </w:r>
          </w:p>
        </w:tc>
        <w:tc>
          <w:tcPr>
            <w:tcW w:type="dxa" w:w="35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FinPilot Implementation</w:t>
            </w:r>
          </w:p>
        </w:tc>
        <w:tc>
          <w:tcPr>
            <w:tcW w:type="dxa" w:w="2726"/>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Replaces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Technical Analysis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Scanner: 1,148 symbols, 11 sectors, EMA/RSI/MACD/BB/ATR</w:t>
            </w:r>
          </w:p>
        </w:tc>
        <w:tc>
          <w:tcPr>
            <w:tcW w:type="dxa" w:w="2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TradingView (€15/month)</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Adaptive Learning</w:t>
            </w:r>
          </w:p>
        </w:tc>
        <w:tc>
          <w:tcPr>
            <w:tcW w:type="dxa" w:w="35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19 DRL agents (PPO/SAC/TD3/A2C) with walk-forward retraining</w:t>
            </w:r>
          </w:p>
        </w:tc>
        <w:tc>
          <w:tcPr>
            <w:tcW w:type="dxa" w:w="27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Bloomberg (€25K/year)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LLM Synthesis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Groq→Claude→Gemini router, automatic failover, 99.9% uptime</w:t>
            </w:r>
          </w:p>
        </w:tc>
        <w:tc>
          <w:tcPr>
            <w:tcW w:type="dxa" w:w="2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Manual analyst reports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Backtesting</w:t>
            </w:r>
          </w:p>
        </w:tc>
        <w:tc>
          <w:tcPr>
            <w:tcW w:type="dxa" w:w="35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Historical backtesting engine, Optuna HPO, 30 trials/agent</w:t>
            </w:r>
          </w:p>
        </w:tc>
        <w:tc>
          <w:tcPr>
            <w:tcW w:type="dxa" w:w="27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QuantConnect (€200/month)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Risk Management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PilotShield: position limits, leverage controls, confidence thresholds</w:t>
            </w:r>
          </w:p>
        </w:tc>
        <w:tc>
          <w:tcPr>
            <w:tcW w:type="dxa" w:w="2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Custom risk systems</w:t>
            </w:r>
          </w:p>
        </w:tc>
      </w:tr>
    </w:tbl>
    <w:p>
      <w:pPr>
        <w:spacing w:after="120"/>
      </w:pPr>
      <w:r>
        <w:t xml:space="preserve"/>
      </w:r>
    </w:p>
    <w:p>
      <w:pPr>
        <w:pStyle w:val="Heading2"/>
        <w:spacing w:before="240" w:after="80"/>
      </w:pPr>
      <w:r>
        <w:rPr>
          <w:rFonts w:ascii="Arial" w:cs="Arial" w:eastAsia="Arial" w:hAnsi="Arial"/>
          <w:b/>
          <w:bCs/>
          <w:color w:val="2E5FA3"/>
          <w:sz w:val="24"/>
          <w:szCs w:val="24"/>
        </w:rPr>
        <w:t xml:space="preserve">2.3 Unique Value Proposition</w:t>
      </w:r>
    </w:p>
    <w:p>
      <w:pPr>
        <w:spacing w:after="120"/>
      </w:pPr>
      <w:r>
        <w:rPr>
          <w:rFonts w:ascii="Arial" w:cs="Arial" w:eastAsia="Arial" w:hAnsi="Arial"/>
          <w:color w:val="1A1A1A"/>
          <w:sz w:val="22"/>
          <w:szCs w:val="22"/>
        </w:rPr>
        <w:t xml:space="preserve">FinPilot is the only platform that combines DRL-based adaptive signal generation, multi-LLM synthesis, and an enterprise-grade production stack at a consumer-accessible price point. Competitive analysis shows no direct equivalent in the €0–€100/month retail segment.</w:t>
      </w:r>
    </w:p>
    <w:p>
      <w:pPr>
        <w:spacing w:after="120"/>
      </w:pPr>
      <w:r>
        <w:t xml:space="preserve"/>
      </w:r>
    </w:p>
    <w:p>
      <w:r>
        <w:br w:type="page"/>
      </w:r>
    </w:p>
    <w:p>
      <w:pPr>
        <w:pStyle w:val="Heading1"/>
        <w:pBdr>
          <w:bottom w:val="single" w:color="1B3A6B" w:sz="8" w:space="4"/>
        </w:pBdr>
        <w:spacing w:before="360" w:after="120"/>
      </w:pPr>
      <w:r>
        <w:rPr>
          <w:rFonts w:ascii="Arial" w:cs="Arial" w:eastAsia="Arial" w:hAnsi="Arial"/>
          <w:b/>
          <w:bCs/>
          <w:color w:val="1B3A6B"/>
          <w:sz w:val="28"/>
          <w:szCs w:val="28"/>
        </w:rPr>
        <w:t xml:space="preserve">3. Product</w:t>
      </w:r>
    </w:p>
    <w:p>
      <w:pPr>
        <w:pStyle w:val="Heading2"/>
        <w:spacing w:before="240" w:after="80"/>
      </w:pPr>
      <w:r>
        <w:rPr>
          <w:rFonts w:ascii="Arial" w:cs="Arial" w:eastAsia="Arial" w:hAnsi="Arial"/>
          <w:b/>
          <w:bCs/>
          <w:color w:val="2E5FA3"/>
          <w:sz w:val="24"/>
          <w:szCs w:val="24"/>
        </w:rPr>
        <w:t xml:space="preserve">3.1 Platform Architecture</w:t>
      </w:r>
    </w:p>
    <w:p>
      <w:pPr>
        <w:spacing w:after="120"/>
      </w:pPr>
      <w:r>
        <w:rPr>
          <w:rFonts w:ascii="Arial" w:cs="Arial" w:eastAsia="Arial" w:hAnsi="Arial"/>
          <w:color w:val="1A1A1A"/>
          <w:sz w:val="22"/>
          <w:szCs w:val="22"/>
        </w:rPr>
        <w:t xml:space="preserve">FinPilot is built as a cloud-native, microservices-ready platform with clear separation of concerns across frontend, API, ML engine, data pipeline, and infrastructure layers.</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226"/>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Layer</w:t>
            </w:r>
          </w:p>
        </w:tc>
        <w:tc>
          <w:tcPr>
            <w:tcW w:type="dxa" w:w="40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Technology</w:t>
            </w:r>
          </w:p>
        </w:tc>
        <w:tc>
          <w:tcPr>
            <w:tcW w:type="dxa" w:w="2226"/>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Dashboard (Primary)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Streamlit v1.7.0 — 5-tab analysis interface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 Production</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Frontend (Next-gen)</w:t>
            </w:r>
          </w:p>
        </w:tc>
        <w:tc>
          <w:tcPr>
            <w:tcW w:type="dxa" w:w="40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Next.js + TypeScript — modern responsive UI</w:t>
            </w:r>
          </w:p>
        </w:tc>
        <w:tc>
          <w:tcPr>
            <w:tcW w:type="dxa" w:w="22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 In Progress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Backend API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FastAPI — 11 routers, JWT auth, SlowAPI rate limiting</w:t>
            </w:r>
          </w:p>
        </w:tc>
        <w:tc>
          <w:tcPr>
            <w:tcW w:type="dxa" w:w="2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 Production</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DRL Engine</w:t>
            </w:r>
          </w:p>
        </w:tc>
        <w:tc>
          <w:tcPr>
            <w:tcW w:type="dxa" w:w="40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Stable-Baselines3 PPO/SAC/TD3/A2C + Gymnasium env</w:t>
            </w:r>
          </w:p>
        </w:tc>
        <w:tc>
          <w:tcPr>
            <w:tcW w:type="dxa" w:w="22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 Active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LLM Router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Groq → Claude → Gemini (automatic failover)</w:t>
            </w:r>
          </w:p>
        </w:tc>
        <w:tc>
          <w:tcPr>
            <w:tcW w:type="dxa" w:w="2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 Production</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Hyperparameter Opt.</w:t>
            </w:r>
          </w:p>
        </w:tc>
        <w:tc>
          <w:tcPr>
            <w:tcW w:type="dxa" w:w="40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Optuna — 30 trials/agent, SQLite/PostgreSQL</w:t>
            </w:r>
          </w:p>
        </w:tc>
        <w:tc>
          <w:tcPr>
            <w:tcW w:type="dxa" w:w="22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 Active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Database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SQLite (dev) / PostgreSQL (production)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 Migration Pending</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Broker Integration</w:t>
            </w:r>
          </w:p>
        </w:tc>
        <w:tc>
          <w:tcPr>
            <w:tcW w:type="dxa" w:w="40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Alpaca API — paper &amp; live trading</w:t>
            </w:r>
          </w:p>
        </w:tc>
        <w:tc>
          <w:tcPr>
            <w:tcW w:type="dxa" w:w="22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 Paper mode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Monitoring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Prometheus + Grafana + Sentry error tracking</w:t>
            </w:r>
          </w:p>
        </w:tc>
        <w:tc>
          <w:tcPr>
            <w:tcW w:type="dxa" w:w="2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 Active</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Infrastructure</w:t>
            </w:r>
          </w:p>
        </w:tc>
        <w:tc>
          <w:tcPr>
            <w:tcW w:type="dxa" w:w="40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Docker Compose + GitHub Actions CI/CD (7 jobs)</w:t>
            </w:r>
          </w:p>
        </w:tc>
        <w:tc>
          <w:tcPr>
            <w:tcW w:type="dxa" w:w="22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 Production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Security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JWT HS256, bcrypt, detect-secrets, Bandit/Safety</w:t>
            </w:r>
          </w:p>
        </w:tc>
        <w:tc>
          <w:tcPr>
            <w:tcW w:type="dxa" w:w="2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 Active</w:t>
            </w:r>
          </w:p>
        </w:tc>
      </w:tr>
    </w:tbl>
    <w:p>
      <w:pPr>
        <w:spacing w:after="120"/>
      </w:pPr>
      <w:r>
        <w:t xml:space="preserve"/>
      </w:r>
    </w:p>
    <w:p>
      <w:pPr>
        <w:pStyle w:val="Heading2"/>
        <w:spacing w:before="240" w:after="80"/>
      </w:pPr>
      <w:r>
        <w:rPr>
          <w:rFonts w:ascii="Arial" w:cs="Arial" w:eastAsia="Arial" w:hAnsi="Arial"/>
          <w:b/>
          <w:bCs/>
          <w:color w:val="2E5FA3"/>
          <w:sz w:val="24"/>
          <w:szCs w:val="24"/>
        </w:rPr>
        <w:t xml:space="preserve">3.2 DRL Agent Stack</w:t>
      </w:r>
    </w:p>
    <w:p>
      <w:pPr>
        <w:spacing w:after="120"/>
      </w:pPr>
      <w:r>
        <w:rPr>
          <w:rFonts w:ascii="Arial" w:cs="Arial" w:eastAsia="Arial" w:hAnsi="Arial"/>
          <w:color w:val="1A1A1A"/>
          <w:sz w:val="22"/>
          <w:szCs w:val="22"/>
        </w:rPr>
        <w:t xml:space="preserve">The proprietary DRL engine is the core technological differentiator. FinPilot trains agents using a Gymnasium-compatible market simulation environment with the following design principles:</w:t>
      </w:r>
    </w:p>
    <w:p>
      <w:pPr>
        <w:pStyle w:val="ListParagraph"/>
        <w:numPr>
          <w:ilvl w:val="0"/>
          <w:numId w:val="2"/>
        </w:numPr>
        <w:spacing w:after="80"/>
      </w:pPr>
      <w:r>
        <w:rPr>
          <w:rFonts w:ascii="Arial" w:cs="Arial" w:eastAsia="Arial" w:hAnsi="Arial"/>
          <w:color w:val="1A1A1A"/>
          <w:sz w:val="22"/>
          <w:szCs w:val="22"/>
        </w:rPr>
        <w:t xml:space="preserve">Walk-forward training with 70/30 train/test split prevents overfitting to historical data.</w:t>
      </w:r>
    </w:p>
    <w:p>
      <w:pPr>
        <w:pStyle w:val="ListParagraph"/>
        <w:numPr>
          <w:ilvl w:val="0"/>
          <w:numId w:val="2"/>
        </w:numPr>
        <w:spacing w:after="80"/>
      </w:pPr>
      <w:r>
        <w:rPr>
          <w:rFonts w:ascii="Arial" w:cs="Arial" w:eastAsia="Arial" w:hAnsi="Arial"/>
          <w:color w:val="1A1A1A"/>
          <w:sz w:val="22"/>
          <w:szCs w:val="22"/>
        </w:rPr>
        <w:t xml:space="preserve">5-phase curriculum learning progressively increases task complexity for stable convergence.</w:t>
      </w:r>
    </w:p>
    <w:p>
      <w:pPr>
        <w:pStyle w:val="ListParagraph"/>
        <w:numPr>
          <w:ilvl w:val="0"/>
          <w:numId w:val="2"/>
        </w:numPr>
        <w:spacing w:after="80"/>
      </w:pPr>
      <w:r>
        <w:rPr>
          <w:rFonts w:ascii="Arial" w:cs="Arial" w:eastAsia="Arial" w:hAnsi="Arial"/>
          <w:color w:val="1A1A1A"/>
          <w:sz w:val="22"/>
          <w:szCs w:val="22"/>
        </w:rPr>
        <w:t xml:space="preserve">Composite scoring: (Sharpe Ratio × 10) + (Calmar Ratio × 0.3) − overtrading penalty − negative return penalty.</w:t>
      </w:r>
    </w:p>
    <w:p>
      <w:pPr>
        <w:pStyle w:val="ListParagraph"/>
        <w:numPr>
          <w:ilvl w:val="0"/>
          <w:numId w:val="2"/>
        </w:numPr>
        <w:spacing w:after="80"/>
      </w:pPr>
      <w:r>
        <w:rPr>
          <w:rFonts w:ascii="Arial" w:cs="Arial" w:eastAsia="Arial" w:hAnsi="Arial"/>
          <w:color w:val="1A1A1A"/>
          <w:sz w:val="22"/>
          <w:szCs w:val="22"/>
        </w:rPr>
        <w:t xml:space="preserve">PilotShield risk layer: max absolute position = 75%, max leverage = 1.5×, confidence threshold = 65%.</w:t>
      </w:r>
    </w:p>
    <w:p>
      <w:pPr>
        <w:pStyle w:val="ListParagraph"/>
        <w:numPr>
          <w:ilvl w:val="0"/>
          <w:numId w:val="2"/>
        </w:numPr>
        <w:spacing w:after="80"/>
      </w:pPr>
      <w:r>
        <w:rPr>
          <w:rFonts w:ascii="Arial" w:cs="Arial" w:eastAsia="Arial" w:hAnsi="Arial"/>
          <w:color w:val="1A1A1A"/>
          <w:sz w:val="22"/>
          <w:szCs w:val="22"/>
        </w:rPr>
        <w:t xml:space="preserve">LearnableEnsembleWeights: EMA-based dynamic agent weighting combining regime prior and performance EMA.</w:t>
      </w:r>
    </w:p>
    <w:p>
      <w:pPr>
        <w:pStyle w:val="ListParagraph"/>
        <w:numPr>
          <w:ilvl w:val="0"/>
          <w:numId w:val="2"/>
        </w:numPr>
        <w:spacing w:after="80"/>
      </w:pPr>
      <w:r>
        <w:rPr>
          <w:rFonts w:ascii="Arial" w:cs="Arial" w:eastAsia="Arial" w:hAnsi="Arial"/>
          <w:color w:val="1A1A1A"/>
          <w:sz w:val="22"/>
          <w:szCs w:val="22"/>
        </w:rPr>
        <w:t xml:space="preserve">Autonomous improvement loop: drl_autopilot.py weekly cycle measures, analyses, recommends, and generates retrain commands.</w:t>
      </w:r>
    </w:p>
    <w:p>
      <w:pPr>
        <w:spacing w:after="120"/>
      </w:pPr>
      <w:r>
        <w:t xml:space="preserve"/>
      </w:r>
    </w:p>
    <w:p>
      <w:pPr>
        <w:pStyle w:val="Heading2"/>
        <w:spacing w:before="240" w:after="80"/>
      </w:pPr>
      <w:r>
        <w:rPr>
          <w:rFonts w:ascii="Arial" w:cs="Arial" w:eastAsia="Arial" w:hAnsi="Arial"/>
          <w:b/>
          <w:bCs/>
          <w:color w:val="2E5FA3"/>
          <w:sz w:val="24"/>
          <w:szCs w:val="24"/>
        </w:rPr>
        <w:t xml:space="preserve">3.3 Current Model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300"/>
        <w:gridCol w:w="1200"/>
        <w:gridCol w:w="1200"/>
        <w:gridCol w:w="1326"/>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Model ID</w:t>
            </w:r>
          </w:p>
        </w:tc>
        <w:tc>
          <w:tcPr>
            <w:tcW w:type="dxa" w:w="14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Type</w:t>
            </w:r>
          </w:p>
        </w:tc>
        <w:tc>
          <w:tcPr>
            <w:tcW w:type="dxa" w:w="13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Return</w:t>
            </w:r>
          </w:p>
        </w:tc>
        <w:tc>
          <w:tcPr>
            <w:tcW w:type="dxa" w:w="12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Max DD</w:t>
            </w:r>
          </w:p>
        </w:tc>
        <w:tc>
          <w:tcPr>
            <w:tcW w:type="dxa" w:w="12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Sharpe</w:t>
            </w:r>
          </w:p>
        </w:tc>
        <w:tc>
          <w:tcPr>
            <w:tcW w:type="dxa" w:w="1326"/>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Score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ppo_trend_20260304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Trend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+574%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46.5%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0.057</w:t>
            </w:r>
          </w:p>
        </w:tc>
        <w:tc>
          <w:tcPr>
            <w:tcW w:type="dxa" w:w="1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4.27</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ppo_trend_20260305</w:t>
            </w:r>
          </w:p>
        </w:tc>
        <w:tc>
          <w:tcPr>
            <w:tcW w:type="dxa" w:w="1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Trend</w:t>
            </w:r>
          </w:p>
        </w:tc>
        <w:tc>
          <w:tcPr>
            <w:tcW w:type="dxa" w:w="13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+353%</w:t>
            </w:r>
          </w:p>
        </w:tc>
        <w:tc>
          <w:tcPr>
            <w:tcW w:type="dxa" w:w="1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37.7%</w:t>
            </w:r>
          </w:p>
        </w:tc>
        <w:tc>
          <w:tcPr>
            <w:tcW w:type="dxa" w:w="1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0.053</w:t>
            </w:r>
          </w:p>
        </w:tc>
        <w:tc>
          <w:tcPr>
            <w:tcW w:type="dxa" w:w="13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3.33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ppo_momentum_20260306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Momentum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+300%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47.3%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0.063</w:t>
            </w:r>
          </w:p>
        </w:tc>
        <w:tc>
          <w:tcPr>
            <w:tcW w:type="dxa" w:w="1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2.23</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ppo_trend_20260304b</w:t>
            </w:r>
          </w:p>
        </w:tc>
        <w:tc>
          <w:tcPr>
            <w:tcW w:type="dxa" w:w="1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Trend</w:t>
            </w:r>
          </w:p>
        </w:tc>
        <w:tc>
          <w:tcPr>
            <w:tcW w:type="dxa" w:w="13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+270%</w:t>
            </w:r>
          </w:p>
        </w:tc>
        <w:tc>
          <w:tcPr>
            <w:tcW w:type="dxa" w:w="1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46.8%</w:t>
            </w:r>
          </w:p>
        </w:tc>
        <w:tc>
          <w:tcPr>
            <w:tcW w:type="dxa" w:w="1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0.043</w:t>
            </w:r>
          </w:p>
        </w:tc>
        <w:tc>
          <w:tcPr>
            <w:tcW w:type="dxa" w:w="13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2.16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ppo_momentum_20260303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Momentum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+211%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41.1%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0.055</w:t>
            </w:r>
          </w:p>
        </w:tc>
        <w:tc>
          <w:tcPr>
            <w:tcW w:type="dxa" w:w="1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1.80</w:t>
            </w:r>
          </w:p>
        </w:tc>
      </w:tr>
    </w:tbl>
    <w:p>
      <w:pPr>
        <w:spacing w:after="120"/>
      </w:pPr>
      <w:r>
        <w:rPr>
          <w:rFonts w:ascii="Arial" w:cs="Arial" w:eastAsia="Arial" w:hAnsi="Arial"/>
          <w:i/>
          <w:iCs/>
          <w:color w:val="5A6A82"/>
          <w:sz w:val="22"/>
          <w:szCs w:val="22"/>
        </w:rPr>
        <w:t xml:space="preserve">Active optimisation in progress: dd_weight parameter increase (0.3→0.8) targeting MaxDD &lt;20% and Sharpe &gt;0.5 within 2 iterations.</w:t>
      </w:r>
    </w:p>
    <w:p>
      <w:pPr>
        <w:spacing w:after="120"/>
      </w:pPr>
      <w:r>
        <w:t xml:space="preserve"/>
      </w:r>
    </w:p>
    <w:p>
      <w:pPr>
        <w:pStyle w:val="Heading2"/>
        <w:spacing w:before="240" w:after="80"/>
      </w:pPr>
      <w:r>
        <w:rPr>
          <w:rFonts w:ascii="Arial" w:cs="Arial" w:eastAsia="Arial" w:hAnsi="Arial"/>
          <w:b/>
          <w:bCs/>
          <w:color w:val="2E5FA3"/>
          <w:sz w:val="24"/>
          <w:szCs w:val="24"/>
        </w:rPr>
        <w:t xml:space="preserve">3.4 Product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326"/>
        <w:gridCol w:w="1200"/>
      </w:tblGrid>
      <w:tr>
        <w:tc>
          <w:tcPr>
            <w:tcW w:type="dxa" w:w="15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Quarter</w:t>
            </w:r>
          </w:p>
        </w:tc>
        <w:tc>
          <w:tcPr>
            <w:tcW w:type="dxa" w:w="5326"/>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Milestone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Priority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Q2 2026</w:t>
            </w:r>
          </w:p>
        </w:tc>
        <w:tc>
          <w:tcPr>
            <w:tcW w:type="dxa" w:w="5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Cloud deployment (AWS/Azure), PostgreSQL migration, paid beta launch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Critical</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Q2 2026</w:t>
            </w:r>
          </w:p>
        </w:tc>
        <w:tc>
          <w:tcPr>
            <w:tcW w:type="dxa" w:w="53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WebSocket real-time data feeds activation</w:t>
            </w:r>
          </w:p>
        </w:tc>
        <w:tc>
          <w:tcPr>
            <w:tcW w:type="dxa" w:w="1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High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Q3 2026</w:t>
            </w:r>
          </w:p>
        </w:tc>
        <w:tc>
          <w:tcPr>
            <w:tcW w:type="dxa" w:w="5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Next.js frontend completion and Streamlit deprecation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High</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Q3 2026</w:t>
            </w:r>
          </w:p>
        </w:tc>
        <w:tc>
          <w:tcPr>
            <w:tcW w:type="dxa" w:w="53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Mobile app (React Native) beta release</w:t>
            </w:r>
          </w:p>
        </w:tc>
        <w:tc>
          <w:tcPr>
            <w:tcW w:type="dxa" w:w="1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Medium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Q4 2026</w:t>
            </w:r>
          </w:p>
        </w:tc>
        <w:tc>
          <w:tcPr>
            <w:tcW w:type="dxa" w:w="5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API marketplace and B2B onboarding portal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High</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Q1 2027</w:t>
            </w:r>
          </w:p>
        </w:tc>
        <w:tc>
          <w:tcPr>
            <w:tcW w:type="dxa" w:w="53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DRL model targets: MaxDD &lt;20%, Sharpe &gt;0.5</w:t>
            </w:r>
          </w:p>
        </w:tc>
        <w:tc>
          <w:tcPr>
            <w:tcW w:type="dxa" w:w="1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Critical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Q2 2027</w:t>
            </w:r>
          </w:p>
        </w:tc>
        <w:tc>
          <w:tcPr>
            <w:tcW w:type="dxa" w:w="5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First white-label deployment for institutional client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High</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Q3 2027</w:t>
            </w:r>
          </w:p>
        </w:tc>
        <w:tc>
          <w:tcPr>
            <w:tcW w:type="dxa" w:w="53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Series A readiness: 1,000+ paying subscribers, 5 B2B contracts</w:t>
            </w:r>
          </w:p>
        </w:tc>
        <w:tc>
          <w:tcPr>
            <w:tcW w:type="dxa" w:w="1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Strategic</w:t>
            </w:r>
          </w:p>
        </w:tc>
      </w:tr>
    </w:tbl>
    <w:p>
      <w:pPr>
        <w:spacing w:after="120"/>
      </w:pPr>
      <w:r>
        <w:t xml:space="preserve"/>
      </w:r>
    </w:p>
    <w:p>
      <w:r>
        <w:br w:type="page"/>
      </w:r>
    </w:p>
    <w:p>
      <w:pPr>
        <w:pStyle w:val="Heading1"/>
        <w:pBdr>
          <w:bottom w:val="single" w:color="1B3A6B" w:sz="8" w:space="4"/>
        </w:pBdr>
        <w:spacing w:before="360" w:after="120"/>
      </w:pPr>
      <w:r>
        <w:rPr>
          <w:rFonts w:ascii="Arial" w:cs="Arial" w:eastAsia="Arial" w:hAnsi="Arial"/>
          <w:b/>
          <w:bCs/>
          <w:color w:val="1B3A6B"/>
          <w:sz w:val="28"/>
          <w:szCs w:val="28"/>
        </w:rPr>
        <w:t xml:space="preserve">4. Market Analysis</w:t>
      </w:r>
    </w:p>
    <w:p>
      <w:pPr>
        <w:pStyle w:val="Heading2"/>
        <w:spacing w:before="240" w:after="80"/>
      </w:pPr>
      <w:r>
        <w:rPr>
          <w:rFonts w:ascii="Arial" w:cs="Arial" w:eastAsia="Arial" w:hAnsi="Arial"/>
          <w:b/>
          <w:bCs/>
          <w:color w:val="2E5FA3"/>
          <w:sz w:val="24"/>
          <w:szCs w:val="24"/>
        </w:rPr>
        <w:t xml:space="preserve">4.1 Total Addressable Market (TAM)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Global Algo Trading Market (2028)</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$31.4 Billion</w:t>
            </w:r>
          </w:p>
        </w:tc>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CAGR</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11.6%</w:t>
            </w:r>
          </w:p>
        </w:tc>
      </w:tr>
      <w:tr>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EU Retail Investors</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58 Million+</w:t>
            </w:r>
          </w:p>
        </w:tc>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Using Algo Tools</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&lt;2%</w:t>
            </w:r>
          </w:p>
        </w:tc>
      </w:tr>
      <w:tr>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AI in Finance Market (2030)</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$22.6 Billion</w:t>
            </w:r>
          </w:p>
        </w:tc>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CAGR</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23.4%</w:t>
            </w:r>
          </w:p>
        </w:tc>
      </w:tr>
      <w:tr>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Austrian Retail Investors</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2.5 Million</w:t>
            </w:r>
          </w:p>
        </w:tc>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Digital First</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45%</w:t>
            </w:r>
          </w:p>
        </w:tc>
      </w:tr>
    </w:tbl>
    <w:p>
      <w:pPr>
        <w:spacing w:after="120"/>
      </w:pPr>
      <w:r>
        <w:t xml:space="preserve"/>
      </w:r>
    </w:p>
    <w:p>
      <w:pPr>
        <w:pStyle w:val="Heading2"/>
        <w:spacing w:before="240" w:after="80"/>
      </w:pPr>
      <w:r>
        <w:rPr>
          <w:rFonts w:ascii="Arial" w:cs="Arial" w:eastAsia="Arial" w:hAnsi="Arial"/>
          <w:b/>
          <w:bCs/>
          <w:color w:val="2E5FA3"/>
          <w:sz w:val="24"/>
          <w:szCs w:val="24"/>
        </w:rPr>
        <w:t xml:space="preserve">4.2 Serviceable Addressable Market (SAM)</w:t>
      </w:r>
    </w:p>
    <w:p>
      <w:pPr>
        <w:spacing w:after="120"/>
      </w:pPr>
      <w:r>
        <w:rPr>
          <w:rFonts w:ascii="Arial" w:cs="Arial" w:eastAsia="Arial" w:hAnsi="Arial"/>
          <w:color w:val="1A1A1A"/>
          <w:sz w:val="22"/>
          <w:szCs w:val="22"/>
        </w:rPr>
        <w:t xml:space="preserve">FinPilot’s SAM is defined as EU-based individual investors and small funds actively seeking algorithmic support tools, plus fintech developers requiring AI stock analysis APIs.</w:t>
      </w:r>
    </w:p>
    <w:p>
      <w:pPr>
        <w:pStyle w:val="ListParagraph"/>
        <w:numPr>
          <w:ilvl w:val="0"/>
          <w:numId w:val="2"/>
        </w:numPr>
        <w:spacing w:after="80"/>
      </w:pPr>
      <w:r>
        <w:rPr>
          <w:rFonts w:ascii="Arial" w:cs="Arial" w:eastAsia="Arial" w:hAnsi="Arial"/>
          <w:color w:val="1A1A1A"/>
          <w:sz w:val="22"/>
          <w:szCs w:val="22"/>
        </w:rPr>
        <w:t xml:space="preserve">EU active retail traders: ~4.2 million (7.2% of 58M retail investors).</w:t>
      </w:r>
    </w:p>
    <w:p>
      <w:pPr>
        <w:pStyle w:val="ListParagraph"/>
        <w:numPr>
          <w:ilvl w:val="0"/>
          <w:numId w:val="2"/>
        </w:numPr>
        <w:spacing w:after="80"/>
      </w:pPr>
      <w:r>
        <w:rPr>
          <w:rFonts w:ascii="Arial" w:cs="Arial" w:eastAsia="Arial" w:hAnsi="Arial"/>
          <w:color w:val="1A1A1A"/>
          <w:sz w:val="22"/>
          <w:szCs w:val="22"/>
        </w:rPr>
        <w:t xml:space="preserve">European fintech startups requiring financial AI APIs: ~12,000 companies.</w:t>
      </w:r>
    </w:p>
    <w:p>
      <w:pPr>
        <w:pStyle w:val="ListParagraph"/>
        <w:numPr>
          <w:ilvl w:val="0"/>
          <w:numId w:val="2"/>
        </w:numPr>
        <w:spacing w:after="80"/>
      </w:pPr>
      <w:r>
        <w:rPr>
          <w:rFonts w:ascii="Arial" w:cs="Arial" w:eastAsia="Arial" w:hAnsi="Arial"/>
          <w:color w:val="1A1A1A"/>
          <w:sz w:val="22"/>
          <w:szCs w:val="22"/>
        </w:rPr>
        <w:t xml:space="preserve">Austrian-DACH market as primary beachhead: ~180,000 active algo-interested investors.</w:t>
      </w:r>
    </w:p>
    <w:p>
      <w:pPr>
        <w:spacing w:after="120"/>
      </w:pPr>
      <w:r>
        <w:t xml:space="preserve"/>
      </w:r>
    </w:p>
    <w:p>
      <w:pPr>
        <w:pStyle w:val="Heading2"/>
        <w:spacing w:before="240" w:after="80"/>
      </w:pPr>
      <w:r>
        <w:rPr>
          <w:rFonts w:ascii="Arial" w:cs="Arial" w:eastAsia="Arial" w:hAnsi="Arial"/>
          <w:b/>
          <w:bCs/>
          <w:color w:val="2E5FA3"/>
          <w:sz w:val="24"/>
          <w:szCs w:val="24"/>
        </w:rPr>
        <w:t xml:space="preserve">4.3 Serviceable Obtainable Market (SOM)</w:t>
      </w:r>
    </w:p>
    <w:p>
      <w:pPr>
        <w:spacing w:after="120"/>
      </w:pPr>
      <w:r>
        <w:rPr>
          <w:rFonts w:ascii="Arial" w:cs="Arial" w:eastAsia="Arial" w:hAnsi="Arial"/>
          <w:color w:val="1A1A1A"/>
          <w:sz w:val="22"/>
          <w:szCs w:val="22"/>
        </w:rPr>
        <w:t xml:space="preserve">Conservative 3-year market capture estimate based on comparable SaaS tools in the financial intelligence space (e.g., Koyfin, Finviz Premium):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Year 1 Subscribers</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450</w:t>
            </w:r>
          </w:p>
        </w:tc>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Year 1 Revenue</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€85,000</w:t>
            </w:r>
          </w:p>
        </w:tc>
      </w:tr>
      <w:tr>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Year 2 Subscribers</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2,200</w:t>
            </w:r>
          </w:p>
        </w:tc>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Year 2 Revenue</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€340,000</w:t>
            </w:r>
          </w:p>
        </w:tc>
      </w:tr>
      <w:tr>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Year 3 Subscribers</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6,000</w:t>
            </w:r>
          </w:p>
        </w:tc>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Year 3 Revenue</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€1,200,000</w:t>
            </w:r>
          </w:p>
        </w:tc>
      </w:tr>
    </w:tbl>
    <w:p>
      <w:pPr>
        <w:spacing w:after="120"/>
      </w:pPr>
      <w:r>
        <w:t xml:space="preserve"/>
      </w:r>
    </w:p>
    <w:p>
      <w:pPr>
        <w:pStyle w:val="Heading2"/>
        <w:spacing w:before="240" w:after="80"/>
      </w:pPr>
      <w:r>
        <w:rPr>
          <w:rFonts w:ascii="Arial" w:cs="Arial" w:eastAsia="Arial" w:hAnsi="Arial"/>
          <w:b/>
          <w:bCs/>
          <w:color w:val="2E5FA3"/>
          <w:sz w:val="24"/>
          <w:szCs w:val="24"/>
        </w:rPr>
        <w:t xml:space="preserve">4.4 Competitive Landscape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000"/>
        <w:gridCol w:w="3326"/>
      </w:tblGrid>
      <w:tr>
        <w:tc>
          <w:tcPr>
            <w:tcW w:type="dxa" w:w="17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Competitor</w:t>
            </w:r>
          </w:p>
        </w:tc>
        <w:tc>
          <w:tcPr>
            <w:tcW w:type="dxa" w:w="20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Strengths</w:t>
            </w:r>
          </w:p>
        </w:tc>
        <w:tc>
          <w:tcPr>
            <w:tcW w:type="dxa" w:w="20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Weaknesses</w:t>
            </w:r>
          </w:p>
        </w:tc>
        <w:tc>
          <w:tcPr>
            <w:tcW w:type="dxa" w:w="3326"/>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FinPilot Advantage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Bloomberg Terminal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Data depth, institutional trust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€25K/year, no DRL, no LLM</w:t>
            </w:r>
          </w:p>
        </w:tc>
        <w:tc>
          <w:tcPr>
            <w:tcW w:type="dxa" w:w="3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100× lower cost, adaptive AI</w:t>
            </w:r>
          </w:p>
        </w:tc>
      </w:tr>
      <w:tr>
        <w:tc>
          <w:tcPr>
            <w:tcW w:type="dxa" w:w="17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TradingView</w:t>
            </w:r>
          </w:p>
        </w:tc>
        <w:tc>
          <w:tcPr>
            <w:tcW w:type="dxa" w:w="20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Large community, charting</w:t>
            </w:r>
          </w:p>
        </w:tc>
        <w:tc>
          <w:tcPr>
            <w:tcW w:type="dxa" w:w="20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No AI decision support, no DRL</w:t>
            </w:r>
          </w:p>
        </w:tc>
        <w:tc>
          <w:tcPr>
            <w:tcW w:type="dxa" w:w="33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DRL + LLM intelligence layer</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QuantConnect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Algorithmic backtesting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Requires programming skills</w:t>
            </w:r>
          </w:p>
        </w:tc>
        <w:tc>
          <w:tcPr>
            <w:tcW w:type="dxa" w:w="3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No-code, automated signals</w:t>
            </w:r>
          </w:p>
        </w:tc>
      </w:tr>
      <w:tr>
        <w:tc>
          <w:tcPr>
            <w:tcW w:type="dxa" w:w="17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Koyfin</w:t>
            </w:r>
          </w:p>
        </w:tc>
        <w:tc>
          <w:tcPr>
            <w:tcW w:type="dxa" w:w="20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Modern UI, data breadth</w:t>
            </w:r>
          </w:p>
        </w:tc>
        <w:tc>
          <w:tcPr>
            <w:tcW w:type="dxa" w:w="20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No ML predictions</w:t>
            </w:r>
          </w:p>
        </w:tc>
        <w:tc>
          <w:tcPr>
            <w:tcW w:type="dxa" w:w="33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Predictive DRL signals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Finviz Premium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Fast screener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Rule-based only, no learning</w:t>
            </w:r>
          </w:p>
        </w:tc>
        <w:tc>
          <w:tcPr>
            <w:tcW w:type="dxa" w:w="3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Adaptive learning agents</w:t>
            </w:r>
          </w:p>
        </w:tc>
      </w:tr>
    </w:tbl>
    <w:p>
      <w:pPr>
        <w:spacing w:after="120"/>
      </w:pPr>
      <w:r>
        <w:t xml:space="preserve"/>
      </w:r>
    </w:p>
    <w:p>
      <w:pPr>
        <w:pStyle w:val="Heading2"/>
        <w:spacing w:before="240" w:after="80"/>
      </w:pPr>
      <w:r>
        <w:rPr>
          <w:rFonts w:ascii="Arial" w:cs="Arial" w:eastAsia="Arial" w:hAnsi="Arial"/>
          <w:b/>
          <w:bCs/>
          <w:color w:val="2E5FA3"/>
          <w:sz w:val="24"/>
          <w:szCs w:val="24"/>
        </w:rPr>
        <w:t xml:space="preserve">4.5 Regulatory Environment</w:t>
      </w:r>
    </w:p>
    <w:p>
      <w:pPr>
        <w:spacing w:after="120"/>
      </w:pPr>
      <w:r>
        <w:rPr>
          <w:rFonts w:ascii="Arial" w:cs="Arial" w:eastAsia="Arial" w:hAnsi="Arial"/>
          <w:color w:val="1A1A1A"/>
          <w:sz w:val="22"/>
          <w:szCs w:val="22"/>
        </w:rPr>
        <w:t xml:space="preserve">FinPilot operates within the EU’s MiFID II regulatory framework. Key positioning decisions:</w:t>
      </w:r>
    </w:p>
    <w:p>
      <w:pPr>
        <w:pStyle w:val="ListParagraph"/>
        <w:numPr>
          <w:ilvl w:val="0"/>
          <w:numId w:val="2"/>
        </w:numPr>
        <w:spacing w:after="80"/>
      </w:pPr>
      <w:r>
        <w:rPr>
          <w:rFonts w:ascii="Arial" w:cs="Arial" w:eastAsia="Arial" w:hAnsi="Arial"/>
          <w:color w:val="1A1A1A"/>
          <w:sz w:val="22"/>
          <w:szCs w:val="22"/>
        </w:rPr>
        <w:t xml:space="preserve">Platform is positioned as an ‘investment research and analysis tool’, NOT an ‘investment adviser’.</w:t>
      </w:r>
    </w:p>
    <w:p>
      <w:pPr>
        <w:pStyle w:val="ListParagraph"/>
        <w:numPr>
          <w:ilvl w:val="0"/>
          <w:numId w:val="2"/>
        </w:numPr>
        <w:spacing w:after="80"/>
      </w:pPr>
      <w:r>
        <w:rPr>
          <w:rFonts w:ascii="Arial" w:cs="Arial" w:eastAsia="Arial" w:hAnsi="Arial"/>
          <w:color w:val="1A1A1A"/>
          <w:sz w:val="22"/>
          <w:szCs w:val="22"/>
        </w:rPr>
        <w:t xml:space="preserve">All signals are accompanied by clear disclaimers: “For informational purposes only. Not financial advice.”</w:t>
      </w:r>
    </w:p>
    <w:p>
      <w:pPr>
        <w:pStyle w:val="ListParagraph"/>
        <w:numPr>
          <w:ilvl w:val="0"/>
          <w:numId w:val="2"/>
        </w:numPr>
        <w:spacing w:after="80"/>
      </w:pPr>
      <w:r>
        <w:rPr>
          <w:rFonts w:ascii="Arial" w:cs="Arial" w:eastAsia="Arial" w:hAnsi="Arial"/>
          <w:color w:val="1A1A1A"/>
          <w:sz w:val="22"/>
          <w:szCs w:val="22"/>
        </w:rPr>
        <w:t xml:space="preserve">User authentication and access control (JWT) ensures trackable usage for compliance purposes.</w:t>
      </w:r>
    </w:p>
    <w:p>
      <w:pPr>
        <w:pStyle w:val="ListParagraph"/>
        <w:numPr>
          <w:ilvl w:val="0"/>
          <w:numId w:val="2"/>
        </w:numPr>
        <w:spacing w:after="80"/>
      </w:pPr>
      <w:r>
        <w:rPr>
          <w:rFonts w:ascii="Arial" w:cs="Arial" w:eastAsia="Arial" w:hAnsi="Arial"/>
          <w:color w:val="1A1A1A"/>
          <w:sz w:val="22"/>
          <w:szCs w:val="22"/>
        </w:rPr>
        <w:t xml:space="preserve">FMA (Austrian Financial Market Authority) advisory consultation planned for Q2 2026.</w:t>
      </w:r>
    </w:p>
    <w:p>
      <w:pPr>
        <w:pStyle w:val="ListParagraph"/>
        <w:numPr>
          <w:ilvl w:val="0"/>
          <w:numId w:val="2"/>
        </w:numPr>
        <w:spacing w:after="80"/>
      </w:pPr>
      <w:r>
        <w:rPr>
          <w:rFonts w:ascii="Arial" w:cs="Arial" w:eastAsia="Arial" w:hAnsi="Arial"/>
          <w:color w:val="1A1A1A"/>
          <w:sz w:val="22"/>
          <w:szCs w:val="22"/>
        </w:rPr>
        <w:t xml:space="preserve">Data residency: EU-based cloud infrastructure preferred for GDPR compliance.</w:t>
      </w:r>
    </w:p>
    <w:p>
      <w:pPr>
        <w:spacing w:after="120"/>
      </w:pPr>
      <w:r>
        <w:t xml:space="preserve"/>
      </w:r>
    </w:p>
    <w:p>
      <w:r>
        <w:br w:type="page"/>
      </w:r>
    </w:p>
    <w:p>
      <w:pPr>
        <w:pStyle w:val="Heading1"/>
        <w:pBdr>
          <w:bottom w:val="single" w:color="1B3A6B" w:sz="8" w:space="4"/>
        </w:pBdr>
        <w:spacing w:before="360" w:after="120"/>
      </w:pPr>
      <w:r>
        <w:rPr>
          <w:rFonts w:ascii="Arial" w:cs="Arial" w:eastAsia="Arial" w:hAnsi="Arial"/>
          <w:b/>
          <w:bCs/>
          <w:color w:val="1B3A6B"/>
          <w:sz w:val="28"/>
          <w:szCs w:val="28"/>
        </w:rPr>
        <w:t xml:space="preserve">5. Business Model</w:t>
      </w:r>
    </w:p>
    <w:p>
      <w:pPr>
        <w:pStyle w:val="Heading2"/>
        <w:spacing w:before="240" w:after="80"/>
      </w:pPr>
      <w:r>
        <w:rPr>
          <w:rFonts w:ascii="Arial" w:cs="Arial" w:eastAsia="Arial" w:hAnsi="Arial"/>
          <w:b/>
          <w:bCs/>
          <w:color w:val="2E5FA3"/>
          <w:sz w:val="24"/>
          <w:szCs w:val="24"/>
        </w:rPr>
        <w:t xml:space="preserve">5.1 Revenue Streams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400"/>
        <w:gridCol w:w="1726"/>
        <w:gridCol w:w="2400"/>
      </w:tblGrid>
      <w:tr>
        <w:tc>
          <w:tcPr>
            <w:tcW w:type="dxa" w:w="17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Stream</w:t>
            </w:r>
          </w:p>
        </w:tc>
        <w:tc>
          <w:tcPr>
            <w:tcW w:type="dxa" w:w="18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Model</w:t>
            </w:r>
          </w:p>
        </w:tc>
        <w:tc>
          <w:tcPr>
            <w:tcW w:type="dxa" w:w="14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Price</w:t>
            </w:r>
          </w:p>
        </w:tc>
        <w:tc>
          <w:tcPr>
            <w:tcW w:type="dxa" w:w="1726"/>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Year 1 Target</w:t>
            </w:r>
          </w:p>
        </w:tc>
        <w:tc>
          <w:tcPr>
            <w:tcW w:type="dxa" w:w="24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Year 3 Target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SaaS — 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Freemium acquisition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€0</w:t>
            </w:r>
          </w:p>
        </w:tc>
        <w:tc>
          <w:tcPr>
            <w:tcW w:type="dxa" w:w="1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2,000 users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20,000 users</w:t>
            </w:r>
          </w:p>
        </w:tc>
      </w:tr>
      <w:tr>
        <w:tc>
          <w:tcPr>
            <w:tcW w:type="dxa" w:w="17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SaaS — Pro</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Monthly subscription</w:t>
            </w:r>
          </w:p>
        </w:tc>
        <w:tc>
          <w:tcPr>
            <w:tcW w:type="dxa" w:w="1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€29/mo</w:t>
            </w:r>
          </w:p>
        </w:tc>
        <w:tc>
          <w:tcPr>
            <w:tcW w:type="dxa" w:w="17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300 users</w:t>
            </w:r>
          </w:p>
        </w:tc>
        <w:tc>
          <w:tcPr>
            <w:tcW w:type="dxa" w:w="2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3,500 users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SaaS — Premium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Monthly subscription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€99/mo</w:t>
            </w:r>
          </w:p>
        </w:tc>
        <w:tc>
          <w:tcPr>
            <w:tcW w:type="dxa" w:w="1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80 users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1,200 users</w:t>
            </w:r>
          </w:p>
        </w:tc>
      </w:tr>
      <w:tr>
        <w:tc>
          <w:tcPr>
            <w:tcW w:type="dxa" w:w="17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B2B API</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Usage-based</w:t>
            </w:r>
          </w:p>
        </w:tc>
        <w:tc>
          <w:tcPr>
            <w:tcW w:type="dxa" w:w="1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€49/10K calls</w:t>
            </w:r>
          </w:p>
        </w:tc>
        <w:tc>
          <w:tcPr>
            <w:tcW w:type="dxa" w:w="17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5 clients</w:t>
            </w:r>
          </w:p>
        </w:tc>
        <w:tc>
          <w:tcPr>
            <w:tcW w:type="dxa" w:w="2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40 clients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White-label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Project-based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€5K–20K/project</w:t>
            </w:r>
          </w:p>
        </w:tc>
        <w:tc>
          <w:tcPr>
            <w:tcW w:type="dxa" w:w="1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1 project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8 projects</w:t>
            </w:r>
          </w:p>
        </w:tc>
      </w:tr>
      <w:tr>
        <w:tc>
          <w:tcPr>
            <w:tcW w:type="dxa" w:w="17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Education/Community</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Monthly membership</w:t>
            </w:r>
          </w:p>
        </w:tc>
        <w:tc>
          <w:tcPr>
            <w:tcW w:type="dxa" w:w="1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€15–25/mo</w:t>
            </w:r>
          </w:p>
        </w:tc>
        <w:tc>
          <w:tcPr>
            <w:tcW w:type="dxa" w:w="17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200 members</w:t>
            </w:r>
          </w:p>
        </w:tc>
        <w:tc>
          <w:tcPr>
            <w:tcW w:type="dxa" w:w="2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2,000 members</w:t>
            </w:r>
          </w:p>
        </w:tc>
      </w:tr>
    </w:tbl>
    <w:p>
      <w:pPr>
        <w:spacing w:after="120"/>
      </w:pPr>
      <w:r>
        <w:t xml:space="preserve"/>
      </w:r>
    </w:p>
    <w:p>
      <w:pPr>
        <w:pStyle w:val="Heading2"/>
        <w:spacing w:before="240" w:after="80"/>
      </w:pPr>
      <w:r>
        <w:rPr>
          <w:rFonts w:ascii="Arial" w:cs="Arial" w:eastAsia="Arial" w:hAnsi="Arial"/>
          <w:b/>
          <w:bCs/>
          <w:color w:val="2E5FA3"/>
          <w:sz w:val="24"/>
          <w:szCs w:val="24"/>
        </w:rPr>
        <w:t xml:space="preserve">5.2 Cost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26"/>
        <w:gridCol w:w="1800"/>
        <w:gridCol w:w="220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Cost Category</w:t>
            </w:r>
          </w:p>
        </w:tc>
        <w:tc>
          <w:tcPr>
            <w:tcW w:type="dxa" w:w="1826"/>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Year 1</w:t>
            </w:r>
          </w:p>
        </w:tc>
        <w:tc>
          <w:tcPr>
            <w:tcW w:type="dxa" w:w="18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Year 2</w:t>
            </w:r>
          </w:p>
        </w:tc>
        <w:tc>
          <w:tcPr>
            <w:tcW w:type="dxa" w:w="22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Year 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Cloud Infrastructure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€18,000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€36,000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€72,000</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Third-party APIs (LLM, Data)</w:t>
            </w:r>
          </w:p>
        </w:tc>
        <w:tc>
          <w:tcPr>
            <w:tcW w:type="dxa" w:w="18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€12,000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€24,000</w:t>
            </w:r>
          </w:p>
        </w:tc>
        <w:tc>
          <w:tcPr>
            <w:tcW w:type="dxa" w:w="2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€48,000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Personnel (1 FTE + contractors)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€45,000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€90,000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€180,000</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Marketing &amp; Sales</w:t>
            </w:r>
          </w:p>
        </w:tc>
        <w:tc>
          <w:tcPr>
            <w:tcW w:type="dxa" w:w="18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€8,000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€25,000</w:t>
            </w:r>
          </w:p>
        </w:tc>
        <w:tc>
          <w:tcPr>
            <w:tcW w:type="dxa" w:w="2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€60,000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Legal &amp; Compliance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€5,000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€10,000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€15,000</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R&amp;D (DRL / product)</w:t>
            </w:r>
          </w:p>
        </w:tc>
        <w:tc>
          <w:tcPr>
            <w:tcW w:type="dxa" w:w="18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€20,000</w:t>
            </w:r>
          </w:p>
        </w:tc>
        <w:tc>
          <w:tcPr>
            <w:tcW w:type="dxa" w:w="2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€40,000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Total OPEX</w:t>
            </w:r>
          </w:p>
        </w:tc>
        <w:tc>
          <w:tcPr>
            <w:tcW w:type="dxa" w:w="1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€88,000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€205,000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€415,000</w:t>
            </w:r>
          </w:p>
        </w:tc>
      </w:tr>
    </w:tbl>
    <w:p>
      <w:pPr>
        <w:spacing w:after="120"/>
      </w:pPr>
      <w:r>
        <w:t xml:space="preserve"/>
      </w:r>
    </w:p>
    <w:p>
      <w:pPr>
        <w:pStyle w:val="Heading2"/>
        <w:spacing w:before="240" w:after="80"/>
      </w:pPr>
      <w:r>
        <w:rPr>
          <w:rFonts w:ascii="Arial" w:cs="Arial" w:eastAsia="Arial" w:hAnsi="Arial"/>
          <w:b/>
          <w:bCs/>
          <w:color w:val="2E5FA3"/>
          <w:sz w:val="24"/>
          <w:szCs w:val="24"/>
        </w:rPr>
        <w:t xml:space="preserve">5.3 Unit Economics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CAC (Customer Acquisition Cost)</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€18–35</w:t>
            </w:r>
          </w:p>
        </w:tc>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LTV (Lifetime Value, Pro)</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€420</w:t>
            </w:r>
          </w:p>
        </w:tc>
      </w:tr>
      <w:tr>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LTV/CAC Ratio</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12–23×</w:t>
            </w:r>
          </w:p>
        </w:tc>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Gross Margin (SaaS)</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~78%</w:t>
            </w:r>
          </w:p>
        </w:tc>
      </w:tr>
      <w:tr>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Payback Period</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~2 months</w:t>
            </w:r>
          </w:p>
        </w:tc>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Churn Target</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&lt;5%/month</w:t>
            </w:r>
          </w:p>
        </w:tc>
      </w:tr>
      <w:tr>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Break-even (Monthly)</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Month 18</w:t>
            </w:r>
          </w:p>
        </w:tc>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Break-even Users</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~1,400</w:t>
            </w:r>
          </w:p>
        </w:tc>
      </w:tr>
    </w:tbl>
    <w:p>
      <w:pPr>
        <w:spacing w:after="120"/>
      </w:pPr>
      <w:r>
        <w:t xml:space="preserve"/>
      </w:r>
    </w:p>
    <w:p>
      <w:r>
        <w:br w:type="page"/>
      </w:r>
    </w:p>
    <w:p>
      <w:pPr>
        <w:pStyle w:val="Heading1"/>
        <w:pBdr>
          <w:bottom w:val="single" w:color="1B3A6B" w:sz="8" w:space="4"/>
        </w:pBdr>
        <w:spacing w:before="360" w:after="120"/>
      </w:pPr>
      <w:r>
        <w:rPr>
          <w:rFonts w:ascii="Arial" w:cs="Arial" w:eastAsia="Arial" w:hAnsi="Arial"/>
          <w:b/>
          <w:bCs/>
          <w:color w:val="1B3A6B"/>
          <w:sz w:val="28"/>
          <w:szCs w:val="28"/>
        </w:rPr>
        <w:t xml:space="preserve">6. Go-to-Market Strategy</w:t>
      </w:r>
    </w:p>
    <w:p>
      <w:pPr>
        <w:pStyle w:val="Heading2"/>
        <w:spacing w:before="240" w:after="80"/>
      </w:pPr>
      <w:r>
        <w:rPr>
          <w:rFonts w:ascii="Arial" w:cs="Arial" w:eastAsia="Arial" w:hAnsi="Arial"/>
          <w:b/>
          <w:bCs/>
          <w:color w:val="2E5FA3"/>
          <w:sz w:val="24"/>
          <w:szCs w:val="24"/>
        </w:rPr>
        <w:t xml:space="preserve">6.1 Phase 1: Beachhead (Q2–Q3 2026)</w:t>
      </w:r>
    </w:p>
    <w:p>
      <w:pPr>
        <w:spacing w:after="120"/>
      </w:pPr>
      <w:r>
        <w:rPr>
          <w:rFonts w:ascii="Arial" w:cs="Arial" w:eastAsia="Arial" w:hAnsi="Arial"/>
          <w:color w:val="1A1A1A"/>
          <w:sz w:val="22"/>
          <w:szCs w:val="22"/>
        </w:rPr>
        <w:t xml:space="preserve">Focus on DACH (Germany, Austria, Switzerland) retail investors and developer community. Key channels:</w:t>
      </w:r>
    </w:p>
    <w:p>
      <w:pPr>
        <w:pStyle w:val="ListParagraph"/>
        <w:numPr>
          <w:ilvl w:val="0"/>
          <w:numId w:val="2"/>
        </w:numPr>
        <w:spacing w:after="80"/>
      </w:pPr>
      <w:r>
        <w:rPr>
          <w:rFonts w:ascii="Arial" w:cs="Arial" w:eastAsia="Arial" w:hAnsi="Arial"/>
          <w:color w:val="1A1A1A"/>
          <w:sz w:val="22"/>
          <w:szCs w:val="22"/>
        </w:rPr>
        <w:t xml:space="preserve">Content marketing: “How we built a DRL trading platform in 22 sprints” — developer blog and YouTube series.</w:t>
      </w:r>
    </w:p>
    <w:p>
      <w:pPr>
        <w:pStyle w:val="ListParagraph"/>
        <w:numPr>
          <w:ilvl w:val="0"/>
          <w:numId w:val="2"/>
        </w:numPr>
        <w:spacing w:after="80"/>
      </w:pPr>
      <w:r>
        <w:rPr>
          <w:rFonts w:ascii="Arial" w:cs="Arial" w:eastAsia="Arial" w:hAnsi="Arial"/>
          <w:color w:val="1A1A1A"/>
          <w:sz w:val="22"/>
          <w:szCs w:val="22"/>
        </w:rPr>
        <w:t xml:space="preserve">Open-source strategy: Core scanner module open-sourced on GitHub to build developer trust and community.</w:t>
      </w:r>
    </w:p>
    <w:p>
      <w:pPr>
        <w:pStyle w:val="ListParagraph"/>
        <w:numPr>
          <w:ilvl w:val="0"/>
          <w:numId w:val="2"/>
        </w:numPr>
        <w:spacing w:after="80"/>
      </w:pPr>
      <w:r>
        <w:rPr>
          <w:rFonts w:ascii="Arial" w:cs="Arial" w:eastAsia="Arial" w:hAnsi="Arial"/>
          <w:color w:val="1A1A1A"/>
          <w:sz w:val="22"/>
          <w:szCs w:val="22"/>
        </w:rPr>
        <w:t xml:space="preserve">riz-up network: Leverage Gänserndorf consulting ecosystem for early B2B introductions.</w:t>
      </w:r>
    </w:p>
    <w:p>
      <w:pPr>
        <w:pStyle w:val="ListParagraph"/>
        <w:numPr>
          <w:ilvl w:val="0"/>
          <w:numId w:val="2"/>
        </w:numPr>
        <w:spacing w:after="80"/>
      </w:pPr>
      <w:r>
        <w:rPr>
          <w:rFonts w:ascii="Arial" w:cs="Arial" w:eastAsia="Arial" w:hAnsi="Arial"/>
          <w:color w:val="1A1A1A"/>
          <w:sz w:val="22"/>
          <w:szCs w:val="22"/>
        </w:rPr>
        <w:t xml:space="preserve">Product Hunt launch: Targeting “Product of the Day” in the Finance Tools category.</w:t>
      </w:r>
    </w:p>
    <w:p>
      <w:pPr>
        <w:pStyle w:val="ListParagraph"/>
        <w:numPr>
          <w:ilvl w:val="0"/>
          <w:numId w:val="2"/>
        </w:numPr>
        <w:spacing w:after="80"/>
      </w:pPr>
      <w:r>
        <w:rPr>
          <w:rFonts w:ascii="Arial" w:cs="Arial" w:eastAsia="Arial" w:hAnsi="Arial"/>
          <w:color w:val="1A1A1A"/>
          <w:sz w:val="22"/>
          <w:szCs w:val="22"/>
        </w:rPr>
        <w:t xml:space="preserve">Communities: QuantConnect forum, r/algotrading, LinkedIn algorithmic trading groups.</w:t>
      </w:r>
    </w:p>
    <w:p>
      <w:pPr>
        <w:spacing w:after="120"/>
      </w:pPr>
      <w:r>
        <w:t xml:space="preserve"/>
      </w:r>
    </w:p>
    <w:p>
      <w:pPr>
        <w:pStyle w:val="Heading2"/>
        <w:spacing w:before="240" w:after="80"/>
      </w:pPr>
      <w:r>
        <w:rPr>
          <w:rFonts w:ascii="Arial" w:cs="Arial" w:eastAsia="Arial" w:hAnsi="Arial"/>
          <w:b/>
          <w:bCs/>
          <w:color w:val="2E5FA3"/>
          <w:sz w:val="24"/>
          <w:szCs w:val="24"/>
        </w:rPr>
        <w:t xml:space="preserve">6.2 Phase 2: European Expansion (Q4 2026 – Q2 2027)</w:t>
      </w:r>
    </w:p>
    <w:p>
      <w:pPr>
        <w:pStyle w:val="ListParagraph"/>
        <w:numPr>
          <w:ilvl w:val="0"/>
          <w:numId w:val="2"/>
        </w:numPr>
        <w:spacing w:after="80"/>
      </w:pPr>
      <w:r>
        <w:rPr>
          <w:rFonts w:ascii="Arial" w:cs="Arial" w:eastAsia="Arial" w:hAnsi="Arial"/>
          <w:color w:val="1A1A1A"/>
          <w:sz w:val="22"/>
          <w:szCs w:val="22"/>
        </w:rPr>
        <w:t xml:space="preserve">EIC Accelerator funding enables pan-European marketing push.</w:t>
      </w:r>
    </w:p>
    <w:p>
      <w:pPr>
        <w:pStyle w:val="ListParagraph"/>
        <w:numPr>
          <w:ilvl w:val="0"/>
          <w:numId w:val="2"/>
        </w:numPr>
        <w:spacing w:after="80"/>
      </w:pPr>
      <w:r>
        <w:rPr>
          <w:rFonts w:ascii="Arial" w:cs="Arial" w:eastAsia="Arial" w:hAnsi="Arial"/>
          <w:color w:val="1A1A1A"/>
          <w:sz w:val="22"/>
          <w:szCs w:val="22"/>
        </w:rPr>
        <w:t xml:space="preserve">Localisation: German, French, Spanish platform versions.</w:t>
      </w:r>
    </w:p>
    <w:p>
      <w:pPr>
        <w:pStyle w:val="ListParagraph"/>
        <w:numPr>
          <w:ilvl w:val="0"/>
          <w:numId w:val="2"/>
        </w:numPr>
        <w:spacing w:after="80"/>
      </w:pPr>
      <w:r>
        <w:rPr>
          <w:rFonts w:ascii="Arial" w:cs="Arial" w:eastAsia="Arial" w:hAnsi="Arial"/>
          <w:color w:val="1A1A1A"/>
          <w:sz w:val="22"/>
          <w:szCs w:val="22"/>
        </w:rPr>
        <w:t xml:space="preserve">Partnership with 2–3 European fintech accelerators (e.g., FinTech Austria, Berlin Fintech Week).</w:t>
      </w:r>
    </w:p>
    <w:p>
      <w:pPr>
        <w:pStyle w:val="ListParagraph"/>
        <w:numPr>
          <w:ilvl w:val="0"/>
          <w:numId w:val="2"/>
        </w:numPr>
        <w:spacing w:after="80"/>
      </w:pPr>
      <w:r>
        <w:rPr>
          <w:rFonts w:ascii="Arial" w:cs="Arial" w:eastAsia="Arial" w:hAnsi="Arial"/>
          <w:color w:val="1A1A1A"/>
          <w:sz w:val="22"/>
          <w:szCs w:val="22"/>
        </w:rPr>
        <w:t xml:space="preserve">Press coverage: TechCrunch Europe, Der Standard (Austria), Handelsblatt (Germany).</w:t>
      </w:r>
    </w:p>
    <w:p>
      <w:pPr>
        <w:spacing w:after="120"/>
      </w:pPr>
      <w:r>
        <w:t xml:space="preserve"/>
      </w:r>
    </w:p>
    <w:p>
      <w:pPr>
        <w:pStyle w:val="Heading2"/>
        <w:spacing w:before="240" w:after="80"/>
      </w:pPr>
      <w:r>
        <w:rPr>
          <w:rFonts w:ascii="Arial" w:cs="Arial" w:eastAsia="Arial" w:hAnsi="Arial"/>
          <w:b/>
          <w:bCs/>
          <w:color w:val="2E5FA3"/>
          <w:sz w:val="24"/>
          <w:szCs w:val="24"/>
        </w:rPr>
        <w:t xml:space="preserve">6.3 Phase 3: US Entry (2027)</w:t>
      </w:r>
    </w:p>
    <w:p>
      <w:pPr>
        <w:pStyle w:val="ListParagraph"/>
        <w:numPr>
          <w:ilvl w:val="0"/>
          <w:numId w:val="2"/>
        </w:numPr>
        <w:spacing w:after="80"/>
      </w:pPr>
      <w:r>
        <w:rPr>
          <w:rFonts w:ascii="Arial" w:cs="Arial" w:eastAsia="Arial" w:hAnsi="Arial"/>
          <w:color w:val="1A1A1A"/>
          <w:sz w:val="22"/>
          <w:szCs w:val="22"/>
        </w:rPr>
        <w:t xml:space="preserve">NSF SBIR funding establishes US credibility and non-dilutive capital.</w:t>
      </w:r>
    </w:p>
    <w:p>
      <w:pPr>
        <w:pStyle w:val="ListParagraph"/>
        <w:numPr>
          <w:ilvl w:val="0"/>
          <w:numId w:val="2"/>
        </w:numPr>
        <w:spacing w:after="80"/>
      </w:pPr>
      <w:r>
        <w:rPr>
          <w:rFonts w:ascii="Arial" w:cs="Arial" w:eastAsia="Arial" w:hAnsi="Arial"/>
          <w:color w:val="1A1A1A"/>
          <w:sz w:val="22"/>
          <w:szCs w:val="22"/>
        </w:rPr>
        <w:t xml:space="preserve">US entity formation (Delaware C-Corp) for investor compatibility.</w:t>
      </w:r>
    </w:p>
    <w:p>
      <w:pPr>
        <w:pStyle w:val="ListParagraph"/>
        <w:numPr>
          <w:ilvl w:val="0"/>
          <w:numId w:val="2"/>
        </w:numPr>
        <w:spacing w:after="80"/>
      </w:pPr>
      <w:r>
        <w:rPr>
          <w:rFonts w:ascii="Arial" w:cs="Arial" w:eastAsia="Arial" w:hAnsi="Arial"/>
          <w:color w:val="1A1A1A"/>
          <w:sz w:val="22"/>
          <w:szCs w:val="22"/>
        </w:rPr>
        <w:t xml:space="preserve">API-first US strategy: Target algorithmic trading developers on RapidAPI marketplace.</w:t>
      </w:r>
    </w:p>
    <w:p>
      <w:pPr>
        <w:pStyle w:val="ListParagraph"/>
        <w:numPr>
          <w:ilvl w:val="0"/>
          <w:numId w:val="2"/>
        </w:numPr>
        <w:spacing w:after="80"/>
      </w:pPr>
      <w:r>
        <w:rPr>
          <w:rFonts w:ascii="Arial" w:cs="Arial" w:eastAsia="Arial" w:hAnsi="Arial"/>
          <w:color w:val="1A1A1A"/>
          <w:sz w:val="22"/>
          <w:szCs w:val="22"/>
        </w:rPr>
        <w:t xml:space="preserve">Potential US accelerators: Y Combinator, Techstars NYC, FinTech Innovation Lab.</w:t>
      </w:r>
    </w:p>
    <w:p>
      <w:pPr>
        <w:spacing w:after="120"/>
      </w:pPr>
      <w:r>
        <w:t xml:space="preserve"/>
      </w:r>
    </w:p>
    <w:p>
      <w:pPr>
        <w:pStyle w:val="Heading1"/>
        <w:pBdr>
          <w:bottom w:val="single" w:color="1B3A6B" w:sz="8" w:space="4"/>
        </w:pBdr>
        <w:spacing w:before="360" w:after="120"/>
      </w:pPr>
      <w:r>
        <w:rPr>
          <w:rFonts w:ascii="Arial" w:cs="Arial" w:eastAsia="Arial" w:hAnsi="Arial"/>
          <w:b/>
          <w:bCs/>
          <w:color w:val="1B3A6B"/>
          <w:sz w:val="28"/>
          <w:szCs w:val="28"/>
        </w:rPr>
        <w:t xml:space="preserve">7. Team</w:t>
      </w:r>
    </w:p>
    <w:p>
      <w:pPr>
        <w:pStyle w:val="Heading2"/>
        <w:spacing w:before="240" w:after="80"/>
      </w:pPr>
      <w:r>
        <w:rPr>
          <w:rFonts w:ascii="Arial" w:cs="Arial" w:eastAsia="Arial" w:hAnsi="Arial"/>
          <w:b/>
          <w:bCs/>
          <w:color w:val="2E5FA3"/>
          <w:sz w:val="24"/>
          <w:szCs w:val="24"/>
        </w:rPr>
        <w:t xml:space="preserve">7.1 Founder</w:t>
      </w:r>
    </w:p>
    <w:p>
      <w:pPr>
        <w:spacing w:after="120"/>
      </w:pPr>
      <w:r>
        <w:rPr>
          <w:rFonts w:ascii="Arial" w:cs="Arial" w:eastAsia="Arial" w:hAnsi="Arial"/>
          <w:color w:val="1A1A1A"/>
          <w:sz w:val="22"/>
          <w:szCs w:val="22"/>
        </w:rPr>
        <w:t xml:space="preserve">The founding team brings together deep technical expertise across three critical domains required for FinPilot’s success: AI/ML engineering, financial markets, and full-stack software development.</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Competency</w:t>
            </w:r>
          </w:p>
        </w:tc>
        <w:tc>
          <w:tcPr>
            <w:tcW w:type="dxa" w:w="6026"/>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Evidence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AI/ML Engineering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19 DRL models trained, Optuna HPO, walk-forward validation, curriculum learning</w:t>
            </w:r>
          </w:p>
        </w:tc>
      </w:tr>
      <w:tr>
        <w:tc>
          <w:tcPr>
            <w:tcW w:type="dxa" w:w="30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Financial Markets</w:t>
            </w:r>
          </w:p>
        </w:tc>
        <w:tc>
          <w:tcPr>
            <w:tcW w:type="dxa" w:w="60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Deep understanding of Sharpe, Calmar, drawdown, market regime detection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Software Engineering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22-sprint production system: FastAPI, Docker, CI/CD, JWT, Prometheus</w:t>
            </w:r>
          </w:p>
        </w:tc>
      </w:tr>
      <w:tr>
        <w:tc>
          <w:tcPr>
            <w:tcW w:type="dxa" w:w="30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Product Development</w:t>
            </w:r>
          </w:p>
        </w:tc>
        <w:tc>
          <w:tcPr>
            <w:tcW w:type="dxa" w:w="60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7 core modules, 16 components, 466 tests, enterprise-grade architecture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Research Discipline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Systematic experiment logging, research state management, regression detection</w:t>
            </w:r>
          </w:p>
        </w:tc>
      </w:tr>
    </w:tbl>
    <w:p>
      <w:pPr>
        <w:spacing w:after="120"/>
      </w:pPr>
      <w:r>
        <w:t xml:space="preserve"/>
      </w:r>
    </w:p>
    <w:p>
      <w:pPr>
        <w:pStyle w:val="Heading2"/>
        <w:spacing w:before="240" w:after="80"/>
      </w:pPr>
      <w:r>
        <w:rPr>
          <w:rFonts w:ascii="Arial" w:cs="Arial" w:eastAsia="Arial" w:hAnsi="Arial"/>
          <w:b/>
          <w:bCs/>
          <w:color w:val="2E5FA3"/>
          <w:sz w:val="24"/>
          <w:szCs w:val="24"/>
        </w:rPr>
        <w:t xml:space="preserve">7.2 Hiring Plan (Post-Funding)</w:t>
      </w:r>
    </w:p>
    <w:p>
      <w:pPr>
        <w:pStyle w:val="ListParagraph"/>
        <w:numPr>
          <w:ilvl w:val="0"/>
          <w:numId w:val="2"/>
        </w:numPr>
        <w:spacing w:after="80"/>
      </w:pPr>
      <w:r>
        <w:rPr>
          <w:rFonts w:ascii="Arial" w:cs="Arial" w:eastAsia="Arial" w:hAnsi="Arial"/>
          <w:color w:val="1A1A1A"/>
          <w:sz w:val="22"/>
          <w:szCs w:val="22"/>
        </w:rPr>
        <w:t xml:space="preserve">Month 3: Full-stack engineer (Next.js / React Native) — frontend completion and mobile app.</w:t>
      </w:r>
    </w:p>
    <w:p>
      <w:pPr>
        <w:pStyle w:val="ListParagraph"/>
        <w:numPr>
          <w:ilvl w:val="0"/>
          <w:numId w:val="2"/>
        </w:numPr>
        <w:spacing w:after="80"/>
      </w:pPr>
      <w:r>
        <w:rPr>
          <w:rFonts w:ascii="Arial" w:cs="Arial" w:eastAsia="Arial" w:hAnsi="Arial"/>
          <w:color w:val="1A1A1A"/>
          <w:sz w:val="22"/>
          <w:szCs w:val="22"/>
        </w:rPr>
        <w:t xml:space="preserve">Month 6: DevOps / Cloud engineer — AWS deployment, auto-scaling, PostgreSQL migration.</w:t>
      </w:r>
    </w:p>
    <w:p>
      <w:pPr>
        <w:pStyle w:val="ListParagraph"/>
        <w:numPr>
          <w:ilvl w:val="0"/>
          <w:numId w:val="2"/>
        </w:numPr>
        <w:spacing w:after="80"/>
      </w:pPr>
      <w:r>
        <w:rPr>
          <w:rFonts w:ascii="Arial" w:cs="Arial" w:eastAsia="Arial" w:hAnsi="Arial"/>
          <w:color w:val="1A1A1A"/>
          <w:sz w:val="22"/>
          <w:szCs w:val="22"/>
        </w:rPr>
        <w:t xml:space="preserve">Month 9: Sales / Business Development — B2B pipeline and institutional partnerships.</w:t>
      </w:r>
    </w:p>
    <w:p>
      <w:pPr>
        <w:pStyle w:val="ListParagraph"/>
        <w:numPr>
          <w:ilvl w:val="0"/>
          <w:numId w:val="2"/>
        </w:numPr>
        <w:spacing w:after="80"/>
      </w:pPr>
      <w:r>
        <w:rPr>
          <w:rFonts w:ascii="Arial" w:cs="Arial" w:eastAsia="Arial" w:hAnsi="Arial"/>
          <w:color w:val="1A1A1A"/>
          <w:sz w:val="22"/>
          <w:szCs w:val="22"/>
        </w:rPr>
        <w:t xml:space="preserve">Month 12: Compliance officer (part-time) — MiFID II, FMA advisory, GDPR.</w:t>
      </w:r>
    </w:p>
    <w:p>
      <w:pPr>
        <w:spacing w:after="120"/>
      </w:pPr>
      <w:r>
        <w:t xml:space="preserve"/>
      </w:r>
    </w:p>
    <w:p>
      <w:pPr>
        <w:pStyle w:val="Heading2"/>
        <w:spacing w:before="240" w:after="80"/>
      </w:pPr>
      <w:r>
        <w:rPr>
          <w:rFonts w:ascii="Arial" w:cs="Arial" w:eastAsia="Arial" w:hAnsi="Arial"/>
          <w:b/>
          <w:bCs/>
          <w:color w:val="2E5FA3"/>
          <w:sz w:val="24"/>
          <w:szCs w:val="24"/>
        </w:rPr>
        <w:t xml:space="preserve">7.3 Advisory Board (Planned)</w:t>
      </w:r>
    </w:p>
    <w:p>
      <w:pPr>
        <w:pStyle w:val="ListParagraph"/>
        <w:numPr>
          <w:ilvl w:val="0"/>
          <w:numId w:val="2"/>
        </w:numPr>
        <w:spacing w:after="80"/>
      </w:pPr>
      <w:r>
        <w:rPr>
          <w:rFonts w:ascii="Arial" w:cs="Arial" w:eastAsia="Arial" w:hAnsi="Arial"/>
          <w:color w:val="1A1A1A"/>
          <w:sz w:val="22"/>
          <w:szCs w:val="22"/>
        </w:rPr>
        <w:t xml:space="preserve">Quantitative Finance Expert — DRL model validation and financial methodology review.</w:t>
      </w:r>
    </w:p>
    <w:p>
      <w:pPr>
        <w:pStyle w:val="ListParagraph"/>
        <w:numPr>
          <w:ilvl w:val="0"/>
          <w:numId w:val="2"/>
        </w:numPr>
        <w:spacing w:after="80"/>
      </w:pPr>
      <w:r>
        <w:rPr>
          <w:rFonts w:ascii="Arial" w:cs="Arial" w:eastAsia="Arial" w:hAnsi="Arial"/>
          <w:color w:val="1A1A1A"/>
          <w:sz w:val="22"/>
          <w:szCs w:val="22"/>
        </w:rPr>
        <w:t xml:space="preserve">Regulatory Advisor (Austria/EU) — MiFID II compliance, FMA liaisons.</w:t>
      </w:r>
    </w:p>
    <w:p>
      <w:pPr>
        <w:pStyle w:val="ListParagraph"/>
        <w:numPr>
          <w:ilvl w:val="0"/>
          <w:numId w:val="2"/>
        </w:numPr>
        <w:spacing w:after="80"/>
      </w:pPr>
      <w:r>
        <w:rPr>
          <w:rFonts w:ascii="Arial" w:cs="Arial" w:eastAsia="Arial" w:hAnsi="Arial"/>
          <w:color w:val="1A1A1A"/>
          <w:sz w:val="22"/>
          <w:szCs w:val="22"/>
        </w:rPr>
        <w:t xml:space="preserve">Fintech Entrepreneur (DACH) — go-to-market strategy and investor introductions.</w:t>
      </w:r>
    </w:p>
    <w:p>
      <w:pPr>
        <w:spacing w:after="120"/>
      </w:pPr>
      <w:r>
        <w:t xml:space="preserve"/>
      </w:r>
    </w:p>
    <w:p>
      <w:r>
        <w:br w:type="page"/>
      </w:r>
    </w:p>
    <w:p>
      <w:pPr>
        <w:pStyle w:val="Heading1"/>
        <w:pBdr>
          <w:bottom w:val="single" w:color="1B3A6B" w:sz="8" w:space="4"/>
        </w:pBdr>
        <w:spacing w:before="360" w:after="120"/>
      </w:pPr>
      <w:r>
        <w:rPr>
          <w:rFonts w:ascii="Arial" w:cs="Arial" w:eastAsia="Arial" w:hAnsi="Arial"/>
          <w:b/>
          <w:bCs/>
          <w:color w:val="1B3A6B"/>
          <w:sz w:val="28"/>
          <w:szCs w:val="28"/>
        </w:rPr>
        <w:t xml:space="preserve">8. Financial Plan</w:t>
      </w:r>
    </w:p>
    <w:p>
      <w:pPr>
        <w:pStyle w:val="Heading2"/>
        <w:spacing w:before="240" w:after="80"/>
      </w:pPr>
      <w:r>
        <w:rPr>
          <w:rFonts w:ascii="Arial" w:cs="Arial" w:eastAsia="Arial" w:hAnsi="Arial"/>
          <w:b/>
          <w:bCs/>
          <w:color w:val="2E5FA3"/>
          <w:sz w:val="24"/>
          <w:szCs w:val="24"/>
        </w:rPr>
        <w:t xml:space="preserve">8.1 Revenue Projections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26"/>
        <w:gridCol w:w="1800"/>
        <w:gridCol w:w="220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Revenue Stream</w:t>
            </w:r>
          </w:p>
        </w:tc>
        <w:tc>
          <w:tcPr>
            <w:tcW w:type="dxa" w:w="1826"/>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Year 1 (2026)</w:t>
            </w:r>
          </w:p>
        </w:tc>
        <w:tc>
          <w:tcPr>
            <w:tcW w:type="dxa" w:w="18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Year 2 (2027)</w:t>
            </w:r>
          </w:p>
        </w:tc>
        <w:tc>
          <w:tcPr>
            <w:tcW w:type="dxa" w:w="22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Year 3 (2028)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SaaS Pro (300/2,200/6K users)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€87,600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€259,600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€612,000</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SaaS Premium (80/400/1.2K users)</w:t>
            </w:r>
          </w:p>
        </w:tc>
        <w:tc>
          <w:tcPr>
            <w:tcW w:type="dxa" w:w="18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€47,520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€237,600</w:t>
            </w:r>
          </w:p>
        </w:tc>
        <w:tc>
          <w:tcPr>
            <w:tcW w:type="dxa" w:w="2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€713,000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B2B API (5/15/40 clients)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€14,700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€44,100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€117,600</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White-label (1/3/8 projects)</w:t>
            </w:r>
          </w:p>
        </w:tc>
        <w:tc>
          <w:tcPr>
            <w:tcW w:type="dxa" w:w="18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€10,000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€45,000</w:t>
            </w:r>
          </w:p>
        </w:tc>
        <w:tc>
          <w:tcPr>
            <w:tcW w:type="dxa" w:w="2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€120,000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Education / Community</w:t>
            </w:r>
          </w:p>
        </w:tc>
        <w:tc>
          <w:tcPr>
            <w:tcW w:type="dxa" w:w="1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€18,000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€60,000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€150,000</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TOTAL REVENUE</w:t>
            </w:r>
          </w:p>
        </w:tc>
        <w:tc>
          <w:tcPr>
            <w:tcW w:type="dxa" w:w="18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€177,820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€646,300</w:t>
            </w:r>
          </w:p>
        </w:tc>
        <w:tc>
          <w:tcPr>
            <w:tcW w:type="dxa" w:w="2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€1,712,600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TOTAL COSTS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€88,000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€205,000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€415,000</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GROSS PROFIT</w:t>
            </w:r>
          </w:p>
        </w:tc>
        <w:tc>
          <w:tcPr>
            <w:tcW w:type="dxa" w:w="18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€89,820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€441,300</w:t>
            </w:r>
          </w:p>
        </w:tc>
        <w:tc>
          <w:tcPr>
            <w:tcW w:type="dxa" w:w="2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€1,297,600</w:t>
            </w:r>
          </w:p>
        </w:tc>
      </w:tr>
    </w:tbl>
    <w:p>
      <w:pPr>
        <w:spacing w:after="120"/>
      </w:pPr>
      <w:r>
        <w:t xml:space="preserve"/>
      </w:r>
    </w:p>
    <w:p>
      <w:pPr>
        <w:pStyle w:val="Heading2"/>
        <w:spacing w:before="240" w:after="80"/>
      </w:pPr>
      <w:r>
        <w:rPr>
          <w:rFonts w:ascii="Arial" w:cs="Arial" w:eastAsia="Arial" w:hAnsi="Arial"/>
          <w:b/>
          <w:bCs/>
          <w:color w:val="2E5FA3"/>
          <w:sz w:val="24"/>
          <w:szCs w:val="24"/>
        </w:rPr>
        <w:t xml:space="preserve">8.2 Funding Requirements</w:t>
      </w:r>
    </w:p>
    <w:p>
      <w:pPr>
        <w:spacing w:after="120"/>
      </w:pPr>
      <w:r>
        <w:rPr>
          <w:rFonts w:ascii="Arial" w:cs="Arial" w:eastAsia="Arial" w:hAnsi="Arial"/>
          <w:color w:val="1A1A1A"/>
          <w:sz w:val="22"/>
          <w:szCs w:val="22"/>
        </w:rPr>
        <w:t xml:space="preserve">FinPilot is seeking €500,000 in funding through a combination of grants, government-backed investments, and strategic angel investment. The funding will be deployed over 18 months to reach cash-flow positive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326"/>
        <w:gridCol w:w="220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Category</w:t>
            </w:r>
          </w:p>
        </w:tc>
        <w:tc>
          <w:tcPr>
            <w:tcW w:type="dxa" w:w="13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Amount</w:t>
            </w:r>
          </w:p>
        </w:tc>
        <w:tc>
          <w:tcPr>
            <w:tcW w:type="dxa" w:w="3326"/>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Timeline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Cloud Infrastructure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€80,000</w:t>
            </w:r>
          </w:p>
        </w:tc>
        <w:tc>
          <w:tcPr>
            <w:tcW w:type="dxa" w:w="3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AWS/Azure deployment, scaling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Month 1–3</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AI/ML R&amp;D</w:t>
            </w:r>
          </w:p>
        </w:tc>
        <w:tc>
          <w:tcPr>
            <w:tcW w:type="dxa" w:w="13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€150,000</w:t>
            </w:r>
          </w:p>
        </w:tc>
        <w:tc>
          <w:tcPr>
            <w:tcW w:type="dxa" w:w="33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DRL optimisation, real-time data integration</w:t>
            </w:r>
          </w:p>
        </w:tc>
        <w:tc>
          <w:tcPr>
            <w:tcW w:type="dxa" w:w="2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Month 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Product Development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€120,000</w:t>
            </w:r>
          </w:p>
        </w:tc>
        <w:tc>
          <w:tcPr>
            <w:tcW w:type="dxa" w:w="3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Next.js, mobile, API marketplace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Month 3‑9</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Legal &amp; Regulatory</w:t>
            </w:r>
          </w:p>
        </w:tc>
        <w:tc>
          <w:tcPr>
            <w:tcW w:type="dxa" w:w="13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€50,000</w:t>
            </w:r>
          </w:p>
        </w:tc>
        <w:tc>
          <w:tcPr>
            <w:tcW w:type="dxa" w:w="33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MiFID II, FMA, IP protection</w:t>
            </w:r>
          </w:p>
        </w:tc>
        <w:tc>
          <w:tcPr>
            <w:tcW w:type="dxa" w:w="2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Month 1–6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Marketing &amp; Sales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€70,000</w:t>
            </w:r>
          </w:p>
        </w:tc>
        <w:tc>
          <w:tcPr>
            <w:tcW w:type="dxa" w:w="3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Launch campaigns, B2B outreach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Month 4–12</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Operations</w:t>
            </w:r>
          </w:p>
        </w:tc>
        <w:tc>
          <w:tcPr>
            <w:tcW w:type="dxa" w:w="13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€30,000</w:t>
            </w:r>
          </w:p>
        </w:tc>
        <w:tc>
          <w:tcPr>
            <w:tcW w:type="dxa" w:w="33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Team, administration, tools</w:t>
            </w:r>
          </w:p>
        </w:tc>
        <w:tc>
          <w:tcPr>
            <w:tcW w:type="dxa" w:w="2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Month 1–12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TOTAL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€500,000</w:t>
            </w:r>
          </w:p>
        </w:tc>
        <w:tc>
          <w:tcPr>
            <w:tcW w:type="dxa" w:w="3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18 months</w:t>
            </w:r>
          </w:p>
        </w:tc>
      </w:tr>
    </w:tbl>
    <w:p>
      <w:pPr>
        <w:spacing w:after="120"/>
      </w:pPr>
      <w:r>
        <w:t xml:space="preserve"/>
      </w:r>
    </w:p>
    <w:p>
      <w:pPr>
        <w:pStyle w:val="Heading2"/>
        <w:spacing w:before="240" w:after="80"/>
      </w:pPr>
      <w:r>
        <w:rPr>
          <w:rFonts w:ascii="Arial" w:cs="Arial" w:eastAsia="Arial" w:hAnsi="Arial"/>
          <w:b/>
          <w:bCs/>
          <w:color w:val="2E5FA3"/>
          <w:sz w:val="24"/>
          <w:szCs w:val="24"/>
        </w:rPr>
        <w:t xml:space="preserve">8.3 Grant Funding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600"/>
        <w:gridCol w:w="2226"/>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Program</w:t>
            </w:r>
          </w:p>
        </w:tc>
        <w:tc>
          <w:tcPr>
            <w:tcW w:type="dxa" w:w="14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Region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Amount</w:t>
            </w:r>
          </w:p>
        </w:tc>
        <w:tc>
          <w:tcPr>
            <w:tcW w:type="dxa" w:w="16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Probability</w:t>
            </w:r>
          </w:p>
        </w:tc>
        <w:tc>
          <w:tcPr>
            <w:tcW w:type="dxa" w:w="2226"/>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Timeline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riz-up GENIUS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Austria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€3,000–10,000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High</w:t>
            </w:r>
          </w:p>
        </w:tc>
        <w:tc>
          <w:tcPr>
            <w:tcW w:type="dxa" w:w="2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September 2026</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FFG Basisprogramm</w:t>
            </w:r>
          </w:p>
        </w:tc>
        <w:tc>
          <w:tcPr>
            <w:tcW w:type="dxa" w:w="1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Austria</w:t>
            </w:r>
          </w:p>
        </w:tc>
        <w:tc>
          <w:tcPr>
            <w:tcW w:type="dxa" w:w="16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€50K–200K</w:t>
            </w:r>
          </w:p>
        </w:tc>
        <w:tc>
          <w:tcPr>
            <w:tcW w:type="dxa" w:w="16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Medium–High</w:t>
            </w:r>
          </w:p>
        </w:tc>
        <w:tc>
          <w:tcPr>
            <w:tcW w:type="dxa" w:w="22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Q3 2026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aws Preseed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Austria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€25K–50K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Medium</w:t>
            </w:r>
          </w:p>
        </w:tc>
        <w:tc>
          <w:tcPr>
            <w:tcW w:type="dxa" w:w="2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Q2–Q3 2026</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EIC Accelerator</w:t>
            </w:r>
          </w:p>
        </w:tc>
        <w:tc>
          <w:tcPr>
            <w:tcW w:type="dxa" w:w="1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EU</w:t>
            </w:r>
          </w:p>
        </w:tc>
        <w:tc>
          <w:tcPr>
            <w:tcW w:type="dxa" w:w="16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€250K–2.5M</w:t>
            </w:r>
          </w:p>
        </w:tc>
        <w:tc>
          <w:tcPr>
            <w:tcW w:type="dxa" w:w="16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Medium</w:t>
            </w:r>
          </w:p>
        </w:tc>
        <w:tc>
          <w:tcPr>
            <w:tcW w:type="dxa" w:w="22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Q3–Q4 2026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NSF SBIR Phase 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USA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€280K (≈$305K)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Medium</w:t>
            </w:r>
          </w:p>
        </w:tc>
        <w:tc>
          <w:tcPr>
            <w:tcW w:type="dxa" w:w="2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Q4 2026</w:t>
            </w:r>
          </w:p>
        </w:tc>
      </w:tr>
    </w:tbl>
    <w:p>
      <w:pPr>
        <w:spacing w:after="120"/>
      </w:pPr>
      <w:r>
        <w:t xml:space="preserve"/>
      </w:r>
    </w:p>
    <w:p>
      <w:pPr>
        <w:pStyle w:val="Heading1"/>
        <w:pBdr>
          <w:bottom w:val="single" w:color="1B3A6B" w:sz="8" w:space="4"/>
        </w:pBdr>
        <w:spacing w:before="360" w:after="120"/>
      </w:pPr>
      <w:r>
        <w:rPr>
          <w:rFonts w:ascii="Arial" w:cs="Arial" w:eastAsia="Arial" w:hAnsi="Arial"/>
          <w:b/>
          <w:bCs/>
          <w:color w:val="1B3A6B"/>
          <w:sz w:val="28"/>
          <w:szCs w:val="28"/>
        </w:rPr>
        <w:t xml:space="preserve">9. Risk Analysis &amp;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3826"/>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Impact</w:t>
            </w:r>
          </w:p>
        </w:tc>
        <w:tc>
          <w:tcPr>
            <w:tcW w:type="dxa" w:w="3826"/>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DRL model performance below expectations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High</w:t>
            </w:r>
          </w:p>
        </w:tc>
        <w:tc>
          <w:tcPr>
            <w:tcW w:type="dxa" w:w="3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Automated optimisation loop (drl_autopilot.py); weekly retrain cycle; ensemble diversity</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Regulatory changes (MiFID II / FMA)</w:t>
            </w:r>
          </w:p>
        </w:tc>
        <w:tc>
          <w:tcPr>
            <w:tcW w:type="dxa" w:w="1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Low</w:t>
            </w:r>
          </w:p>
        </w:tc>
        <w:tc>
          <w:tcPr>
            <w:tcW w:type="dxa" w:w="1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High</w:t>
            </w:r>
          </w:p>
        </w:tc>
        <w:tc>
          <w:tcPr>
            <w:tcW w:type="dxa" w:w="38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Platform framed as ‘research tool’; FMA advisory from Day 1; legal counsel budgeted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Key dependency failure (yfinance / LLM APIs)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Medium</w:t>
            </w:r>
          </w:p>
        </w:tc>
        <w:tc>
          <w:tcPr>
            <w:tcW w:type="dxa" w:w="3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Multi-provider LLM router; yfinance → Polygon.io fallback; redundant data sources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Competition from well-funded players</w:t>
            </w:r>
          </w:p>
        </w:tc>
        <w:tc>
          <w:tcPr>
            <w:tcW w:type="dxa" w:w="1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Medium</w:t>
            </w:r>
          </w:p>
        </w:tc>
        <w:tc>
          <w:tcPr>
            <w:tcW w:type="dxa" w:w="1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Medium</w:t>
            </w:r>
          </w:p>
        </w:tc>
        <w:tc>
          <w:tcPr>
            <w:tcW w:type="dxa" w:w="38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Speed advantage; DRL differentiation; community moat; lower price point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Cloud cost overruns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Medium</w:t>
            </w:r>
          </w:p>
        </w:tc>
        <w:tc>
          <w:tcPr>
            <w:tcW w:type="dxa" w:w="3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Rate limiting; caching layer (Redis); auto-scaling with hard spend caps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Key person risk (solo founder)</w:t>
            </w:r>
          </w:p>
        </w:tc>
        <w:tc>
          <w:tcPr>
            <w:tcW w:type="dxa" w:w="1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High</w:t>
            </w:r>
          </w:p>
        </w:tc>
        <w:tc>
          <w:tcPr>
            <w:tcW w:type="dxa" w:w="1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High</w:t>
            </w:r>
          </w:p>
        </w:tc>
        <w:tc>
          <w:tcPr>
            <w:tcW w:type="dxa" w:w="38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Hiring plan from Month 3; documentation discipline; structured codebase</w:t>
            </w:r>
          </w:p>
        </w:tc>
      </w:tr>
    </w:tbl>
    <w:p>
      <w:pPr>
        <w:spacing w:after="120"/>
      </w:pPr>
      <w:r>
        <w:t xml:space="preserve"/>
      </w:r>
    </w:p>
    <w:p>
      <w:r>
        <w:br w:type="page"/>
      </w:r>
    </w:p>
    <w:p>
      <w:pPr>
        <w:pStyle w:val="Heading1"/>
        <w:pBdr>
          <w:bottom w:val="single" w:color="1B3A6B" w:sz="8" w:space="4"/>
        </w:pBdr>
        <w:spacing w:before="360" w:after="120"/>
      </w:pPr>
      <w:r>
        <w:rPr>
          <w:rFonts w:ascii="Arial" w:cs="Arial" w:eastAsia="Arial" w:hAnsi="Arial"/>
          <w:b/>
          <w:bCs/>
          <w:color w:val="1B3A6B"/>
          <w:sz w:val="28"/>
          <w:szCs w:val="28"/>
        </w:rPr>
        <w:t xml:space="preserve">10. Appendix</w:t>
      </w:r>
    </w:p>
    <w:p>
      <w:pPr>
        <w:pStyle w:val="Heading2"/>
        <w:spacing w:before="240" w:after="80"/>
      </w:pPr>
      <w:r>
        <w:rPr>
          <w:rFonts w:ascii="Arial" w:cs="Arial" w:eastAsia="Arial" w:hAnsi="Arial"/>
          <w:b/>
          <w:bCs/>
          <w:color w:val="2E5FA3"/>
          <w:sz w:val="24"/>
          <w:szCs w:val="24"/>
        </w:rPr>
        <w:t xml:space="preserve">10.1 Technology Stack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Technology</w:t>
            </w:r>
          </w:p>
        </w:tc>
        <w:tc>
          <w:tcPr>
            <w:tcW w:type="dxa" w:w="3426"/>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Version / 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Primary 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Streamlit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v1.7.0, 5-tab dashboard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Secondary Frontend</w:t>
            </w:r>
          </w:p>
        </w:tc>
        <w:tc>
          <w:tcPr>
            <w:tcW w:type="dxa" w:w="2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Next.js + TypeScript</w:t>
            </w:r>
          </w:p>
        </w:tc>
        <w:tc>
          <w:tcPr>
            <w:tcW w:type="dxa" w:w="34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In migration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Backend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FastAPI + Uvicorn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11 routers, JWT, SlowAPI</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DRL Framework</w:t>
            </w:r>
          </w:p>
        </w:tc>
        <w:tc>
          <w:tcPr>
            <w:tcW w:type="dxa" w:w="2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Stable-Baselines3</w:t>
            </w:r>
          </w:p>
        </w:tc>
        <w:tc>
          <w:tcPr>
            <w:tcW w:type="dxa" w:w="34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PPO, SAC, TD3, A2C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RL Environment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Gymnasium</w:t>
            </w:r>
          </w:p>
        </w:tc>
        <w:tc>
          <w:tcPr>
            <w:tcW w:type="dxa" w:w="3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Custom MarketEnv</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HPO Engine</w:t>
            </w:r>
          </w:p>
        </w:tc>
        <w:tc>
          <w:tcPr>
            <w:tcW w:type="dxa" w:w="2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Optuna</w:t>
            </w:r>
          </w:p>
        </w:tc>
        <w:tc>
          <w:tcPr>
            <w:tcW w:type="dxa" w:w="34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30 trials/agent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LLM Provider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Groq</w:t>
            </w:r>
          </w:p>
        </w:tc>
        <w:tc>
          <w:tcPr>
            <w:tcW w:type="dxa" w:w="3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Primary (speed)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LLM Provider 2</w:t>
            </w:r>
          </w:p>
        </w:tc>
        <w:tc>
          <w:tcPr>
            <w:tcW w:type="dxa" w:w="2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Anthropic Claude</w:t>
            </w:r>
          </w:p>
        </w:tc>
        <w:tc>
          <w:tcPr>
            <w:tcW w:type="dxa" w:w="34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Secondary (quality)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LLM Provider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Google Gemini</w:t>
            </w:r>
          </w:p>
        </w:tc>
        <w:tc>
          <w:tcPr>
            <w:tcW w:type="dxa" w:w="3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Tertiary (fallback)</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Database</w:t>
            </w:r>
          </w:p>
        </w:tc>
        <w:tc>
          <w:tcPr>
            <w:tcW w:type="dxa" w:w="2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SQLite / PostgreSQL</w:t>
            </w:r>
          </w:p>
        </w:tc>
        <w:tc>
          <w:tcPr>
            <w:tcW w:type="dxa" w:w="34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Migration in progress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Broker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Alpaca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Paper + Live API</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Monitoring</w:t>
            </w:r>
          </w:p>
        </w:tc>
        <w:tc>
          <w:tcPr>
            <w:tcW w:type="dxa" w:w="2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Prometheus + Grafana + Sentry</w:t>
            </w:r>
          </w:p>
        </w:tc>
        <w:tc>
          <w:tcPr>
            <w:tcW w:type="dxa" w:w="34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Active stack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CI/CD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GitHub Actions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7 jobs: test, lint, security, docker, scanner, drl, frontend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Containerisation</w:t>
            </w:r>
          </w:p>
        </w:tc>
        <w:tc>
          <w:tcPr>
            <w:tcW w:type="dxa" w:w="2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Docker Compose</w:t>
            </w:r>
          </w:p>
        </w:tc>
        <w:tc>
          <w:tcPr>
            <w:tcW w:type="dxa" w:w="34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Multi-profile, multi-service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Security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JWT HS256 + bcrypt + detect-secrets + Bandit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Production-grade</w:t>
            </w:r>
          </w:p>
        </w:tc>
      </w:tr>
    </w:tbl>
    <w:p>
      <w:pPr>
        <w:spacing w:after="120"/>
      </w:pPr>
      <w:r>
        <w:t xml:space="preserve"/>
      </w:r>
    </w:p>
    <w:p>
      <w:pPr>
        <w:pStyle w:val="Heading2"/>
        <w:spacing w:before="240" w:after="80"/>
      </w:pPr>
      <w:r>
        <w:rPr>
          <w:rFonts w:ascii="Arial" w:cs="Arial" w:eastAsia="Arial" w:hAnsi="Arial"/>
          <w:b/>
          <w:bCs/>
          <w:color w:val="2E5FA3"/>
          <w:sz w:val="24"/>
          <w:szCs w:val="24"/>
        </w:rPr>
        <w:t xml:space="preserve">10.2 Key Metrics Summary (March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Total Test Functions</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466</w:t>
            </w:r>
          </w:p>
        </w:tc>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Test Files</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23</w:t>
            </w:r>
          </w:p>
        </w:tc>
      </w:tr>
      <w:tr>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Registered DRL Models</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19</w:t>
            </w:r>
          </w:p>
        </w:tc>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Active CI/CD Jobs</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7</w:t>
            </w:r>
          </w:p>
        </w:tc>
      </w:tr>
      <w:tr>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Scanned Symbols</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1,148</w:t>
            </w:r>
          </w:p>
        </w:tc>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Market Sectors</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11</w:t>
            </w:r>
          </w:p>
        </w:tc>
      </w:tr>
      <w:tr>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API Endpoints</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11</w:t>
            </w:r>
          </w:p>
        </w:tc>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Third-party Integrations</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12</w:t>
            </w:r>
          </w:p>
        </w:tc>
      </w:tr>
      <w:tr>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Sprint Cycles Completed</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22</w:t>
            </w:r>
          </w:p>
        </w:tc>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Platform Version</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v1.7.0</w:t>
            </w:r>
          </w:p>
        </w:tc>
      </w:tr>
      <w:tr>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Top Model Return (backtest)</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+574%</w:t>
            </w:r>
          </w:p>
        </w:tc>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Top Model Composite Score</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4.27</w:t>
            </w:r>
          </w:p>
        </w:tc>
      </w:tr>
    </w:tbl>
    <w:p>
      <w:pPr>
        <w:spacing w:after="120"/>
      </w:pPr>
      <w:r>
        <w:t xml:space="preserve"/>
      </w:r>
    </w:p>
    <w:p>
      <w:pPr>
        <w:pBdr>
          <w:top w:val="single" w:color="C8A415" w:sz="4" w:space="6"/>
        </w:pBdr>
        <w:spacing w:before="300"/>
        <w:jc w:val="center"/>
      </w:pPr>
      <w:r>
        <w:rPr>
          <w:rFonts w:ascii="Arial" w:cs="Arial" w:eastAsia="Arial" w:hAnsi="Arial"/>
          <w:i/>
          <w:iCs/>
          <w:color w:val="5A6A82"/>
          <w:sz w:val="18"/>
          <w:szCs w:val="18"/>
        </w:rPr>
        <w:t xml:space="preserve">FinPilot  |  Business Plan 2026  |  Version 1.0  |  Confidential  |  mericbsk@gmail.com</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4"/>
      </w:pBdr>
      <w:jc w:val="center"/>
    </w:pPr>
    <w:r>
      <w:rPr>
        <w:rFonts w:ascii="Arial" w:cs="Arial" w:eastAsia="Arial" w:hAnsi="Arial"/>
        <w:color w:val="5A6A82"/>
        <w:sz w:val="18"/>
        <w:szCs w:val="18"/>
      </w:rPr>
      <w:t xml:space="preserve">FinPilot Business Plan  |  Page </w:t>
    </w:r>
    <w:r>
      <w:rPr>
        <w:rFonts w:ascii="Arial" w:cs="Arial" w:eastAsia="Arial" w:hAnsi="Arial"/>
        <w:color w:val="5A6A82"/>
        <w:sz w:val="18"/>
        <w:szCs w:val="18"/>
      </w:rPr>
      <w:fldChar w:fldCharType="begin"/>
      <w:instrText xml:space="preserve">PAGE</w:instrText>
      <w:fldChar w:fldCharType="separate"/>
      <w:fldChar w:fldCharType="end"/>
    </w:r>
    <w:r>
      <w:rPr>
        <w:rFonts w:ascii="Arial" w:cs="Arial" w:eastAsia="Arial" w:hAnsi="Arial"/>
        <w:color w:val="5A6A82"/>
        <w:sz w:val="18"/>
        <w:szCs w:val="18"/>
      </w:rPr>
      <w:t xml:space="preserve"> of </w:t>
    </w:r>
    <w:r>
      <w:rPr>
        <w:rFonts w:ascii="Arial" w:cs="Arial" w:eastAsia="Arial" w:hAnsi="Arial"/>
        <w:color w:val="5A6A8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4"/>
      </w:pBdr>
      <w:tabs>
        <w:tab w:val="right" w:pos="9026"/>
      </w:tabs>
    </w:pPr>
    <w:r>
      <w:rPr>
        <w:rFonts w:ascii="Arial" w:cs="Arial" w:eastAsia="Arial" w:hAnsi="Arial"/>
        <w:color w:val="5A6A82"/>
        <w:sz w:val="18"/>
        <w:szCs w:val="18"/>
      </w:rPr>
      <w:t xml:space="preserve">FinPilot  |  Business Plan  |  Confidential</w:t>
    </w:r>
    <w:r>
      <w:rPr>
        <w:rFonts w:ascii="Arial" w:cs="Arial" w:eastAsia="Arial" w:hAnsi="Arial"/>
        <w:color w:val="5A6A82"/>
        <w:sz w:val="18"/>
        <w:szCs w:val="18"/>
      </w:rPr>
      <w:t xml:space="preserv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5FA3"/>
      <w:sz w:val="24"/>
      <w:szCs w:val="24"/>
    </w:rPr>
  </w:style>
  <w:style w:type="paragraph" w:styleId="Heading3">
    <w:name w:val="Heading 3"/>
    <w:basedOn w:val="Normal"/>
    <w:next w:val="Normal"/>
    <w:qFormat/>
    <w:pPr>
      <w:spacing w:before="180" w:after="60"/>
      <w:outlineLvl w:val="2"/>
    </w:pPr>
    <w:rPr>
      <w:rFonts w:ascii="Arial" w:cs="Arial" w:eastAsia="Arial" w:hAnsi="Arial"/>
      <w:b/>
      <w:bCs/>
      <w:color w:val="5A6A8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2026-03-30T16:25:26.981Z</dcterms:created>
  <dcterms:modified xsi:type="dcterms:W3CDTF">2026-03-30T16:25:26.982Z</dcterms:modified>
</cp:coreProperties>
</file>

<file path=docProps/custom.xml><?xml version="1.0" encoding="utf-8"?>
<Properties xmlns="http://schemas.openxmlformats.org/officeDocument/2006/custom-properties" xmlns:vt="http://schemas.openxmlformats.org/officeDocument/2006/docPropsVTypes"/>
</file>