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FinPilot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AI-Powered Investment Analysis Platform</w:t>
      </w:r>
    </w:p>
    <w:p>
      <w:pPr>
        <w:pBdr>
          <w:bottom w:val="single" w:color="C8A415" w:sz="12" w:space="6"/>
        </w:pBdr>
        <w:spacing w:before="0" w:after="240"/>
        <w:jc w:val="center"/>
      </w:pPr>
      <w:r>
        <w:rPr>
          <w:rFonts w:ascii="Arial" w:cs="Arial" w:eastAsia="Arial" w:hAnsi="Arial"/>
          <w:b/>
          <w:bCs/>
          <w:color w:val="5A6A82"/>
          <w:sz w:val="28"/>
          <w:szCs w:val="28"/>
        </w:rPr>
        <w:t xml:space="preserve">Executive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Prepared for: Grant &amp; Investor Applications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March 2026  |  v1.0  |  Confidential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The Opportunity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Retail and institutional investors are overwhelmed by data. Despite access to thousands of financial data points, most investors lack the computational tools to systematically identify high-probability opportunities. FinPilot solves this by combining Deep Reinforcement Learning (DRL) with Large Language Models (LLM) into a single, automated investment intelligence platform.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Market Problem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Over 58 million retail investors in the EU actively trade equities, yet fewer than 2% use algorithmic tools.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Professional algo-trading systems (Bloomberg Terminal, FactSet) cost $25,000–$75,000/year — inaccessible to individual investors and small funds.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Existing retail tools (TradingView, StockCharts) offer indicators but no AI-driven decision support or automated learning.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global algorithmic trading market is projected to reach $31.4 billion by 2028 (CAGR 11.6%).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Our Solution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FinPilot is a cloud-native AI platform that automatically scans 1,148 NASDAQ symbols across 11 sectors, applies 19 trained DRL agents, synthesises signals via a multi-LLM router, and delivers actionable investment intelligence — without requiring any programming knowledge from the end user.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Technology &amp; Traction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Platform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Sprint Development Cycles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22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DRL Models Trained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19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Stock Symbols Scanned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1,148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Market Sectors Covered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11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LLM Providers (Failover)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11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466 Tests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CI/CD Pipeline Jobs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7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Deep Reinforcement Learning Stack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FinPilot's proprietary DRL engine is built on Stable-Baselines3 with PPO/SAC/TD3/A2C algorithms trained in a Gymnasium-compatible market environment. Key technical achievements: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Walk-forward training with 70/30 train/test split and 5-phase curriculum learning.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Composite scoring formula: (Sharpe × 10) + (Calmar × 0.3) − overtrading penalty − negative return penalty.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Optuna hyperparameter optimisation (30 trials per agent) with SQLite/PostgreSQL 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PilotShield risk control: max position 75%, max leverage 1.5×, confidence threshold 65%.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LearnableEnsembleWeights: EMA-based dynamic agent weighting combining regime prior and performance EMA.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Top-5 Model Performance (March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700"/>
        <w:gridCol w:w="1200"/>
        <w:gridCol w:w="2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Return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Max Drawdown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Sharpe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Composite 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PPO Trend #1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+574%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46.5%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0.057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4.27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PPO Trend #2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+353%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37.7%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0.053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3.33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PPO Momentum #1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+300%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47.3%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0.063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PPO Trend #3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+270%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46.8%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0.043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PPO Momentum #2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+211%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41.1%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0.055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1.80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A6A82"/>
          <w:sz w:val="22"/>
          <w:szCs w:val="22"/>
        </w:rPr>
        <w:t xml:space="preserve">Note: Models are in active optimisation. Current dd_weight optimisation (0.3→0.8) target: MaxDD &lt;20%, Sharpe &gt;0.5 within 2 iterations.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(Dashboard)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Streamlit v1.7.0 — 5-tab analysis interface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 (Modern Web)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+ TypeScript — Progressive migration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 — 11 routers, JWT auth, SlowAPI rate limiting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AI/ML Engine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Stable-Baselines3 PPO/SAC/TD3/A2C + Gymnasium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Router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Groq → Claude → Gemini (automatic failover)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Hyperparameter Optimisation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Optuna — 30 trials/agent, SQLite/PostgreSQL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SQLite (dev) / PostgreSQL (production)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Broker Integration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Alpaca API — paper &amp; live trading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Prometheus + Grafana + Sentry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Compose + GitHub Actions CI/CD (7 jobs)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yfinance + Polygon.io + News API + On-chain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HS256, bcrypt, detect-secrets, Bandit/Safety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Business Model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Revenue Streams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1700"/>
        <w:gridCol w:w="2226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daily scans, basic signals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€0/month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acquisition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Unlimited scans, LLM analysis, DRL signals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€29/month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Retail investors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Premium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access, custom backtest, early model updates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€99/month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traders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/ B2B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Per-call usage for fintech developers and funds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€49/10K calls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Developers &amp; SMEs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deployment + model fine-tuning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€5K–20K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Boutique funds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Revenue Projections (3-Year)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Year 1 (2026)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€85,000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Year 2 (2027)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€340,000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Year 3 (2028)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€1,200,000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Break-even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Month 18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Funding Request &amp; Use of Funds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Total Funding Sought: €500,000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13"/>
        <w:gridCol w:w="401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Cloud Infrastructure &amp; Deployment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€80,000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AWS/Azure migration, PostgreSQL, Redis, auto-scaling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AI/ML Research &amp; Development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€150,000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DRL model optimisation, backtesting engine, real-time feeds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Development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€120,000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Next.js frontend, mobile app, API marketplace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Regulatory &amp; Legal Compliance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€50,000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MiFID II compliance, Austrian FMA advisory, IP protection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Sales, Marketing &amp; Growth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€70,000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 marketing, B2B sales, partnership development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Operations &amp; Team Expansion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€30,000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DevOps, customer support, administrative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Grant Programs Targeted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Austria: FFG Basisprogramm 2026 (up to €3M, 70% funding rate) — AI research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Austria: aws Preseed / aws Gründungsfonds II (€72M+ fund, active investment phase)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Austria: riz-up GENIUS Ideenpreis 2026 (deadline: 26 April 2026, Niederösterreich)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EU: EIC Accelerator 2026 (up to €2.5M grant + €10M equity) — deep tech AI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USA: NSF SBIR Phase I (up to $305,000 non-dilutive) — AI systems focus area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Competitive Advantages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Advantage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Proprietary DRL Engine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 trained models, Optuna HPO, walk-forward validation — 22 sprints of R&amp;D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Multi-LLM Failover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Groq → Claude → Gemini router ensures 99.9% AI analysis availability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Full-Stack Production Build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7-job CI/CD pipeline, Docker, JWT auth, Prometheus monitoring — enterprise-grade from day 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Speed to Market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Streamlit dashboard deployable in days; Next.js migration underway for scalable UI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Proprietary Data Signals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1,148-symbol scanner + on-chain data + news sentiment — multi-source alpha generation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Regulatory Positioning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Architecture designed as 'analysis tool', not 'investment adviser' — MiFID II compliant framing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Team &amp; Vision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FinPilot was developed by a founder with deep expertise in AI/ML engineering, financial markets, and full-stack software development — evidenced by 22 consecutive sprint cycles building an enterprise-grade platform from scratch. The project demonstrates a rare combination of academic rigour (DRL research, Optuna HPO, walk-forward validation) and engineering discipline (CI/CD, Docker, testing, security).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12-Month Vision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Q2 2026: Cloud deployment (AWS/Azure), PostgreSQL migration, paid beta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Q3 2026: EIC Accelerator application submitted; NSF SBIR Phase I filed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Q3 2026: First 500 paying subscribers; 3 B2B API contracts signed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Q4 2026: Real-time WebSocket data feeds live; mobile app beta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Q1 2027: MaxDD &lt;20% across all DRL models; Sharpe &gt;0.5 achieved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Q2 2027: White-label deployment for first institutional client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1B3A6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Contact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FinPilot</w:t>
            </w:r>
          </w:p>
          <w:p>
            <w:r>
              <w:rPr>
                <w:rFonts w:ascii="Arial" w:cs="Arial" w:eastAsia="Arial" w:hAnsi="Arial"/>
                <w:color w:val="5A6A82"/>
                <w:sz w:val="22"/>
                <w:szCs w:val="22"/>
              </w:rPr>
              <w:t xml:space="preserve">Gänserndorf, Niederösterreich</w:t>
            </w:r>
          </w:p>
          <w:p>
            <w:r>
              <w:rPr>
                <w:rFonts w:ascii="Arial" w:cs="Arial" w:eastAsia="Arial" w:hAnsi="Arial"/>
                <w:color w:val="5A6A82"/>
                <w:sz w:val="22"/>
                <w:szCs w:val="22"/>
              </w:rPr>
              <w:t xml:space="preserve">Austria  |  EU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Contact:</w:t>
            </w:r>
          </w:p>
          <w:p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mericbsk@gmail.com</w:t>
            </w:r>
          </w:p>
          <w:p>
            <w:r>
              <w:rPr>
                <w:rFonts w:ascii="Arial" w:cs="Arial" w:eastAsia="Arial" w:hAnsi="Arial"/>
                <w:color w:val="5A6A82"/>
                <w:sz w:val="20"/>
                <w:szCs w:val="20"/>
              </w:rPr>
              <w:t xml:space="preserve">Platform: FinPilot v1.7.0 (Sprint 22)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C8A415" w:sz="4" w:space="6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A6A82"/>
          <w:sz w:val="18"/>
          <w:szCs w:val="18"/>
        </w:rPr>
        <w:t xml:space="preserve">This document is confidential and intended solely for grant evaluation and investor review purposes.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 w:space="4"/>
      </w:pBdr>
      <w:jc w:val="center"/>
    </w:pPr>
    <w:r>
      <w:rPr>
        <w:rFonts w:ascii="Arial" w:cs="Arial" w:eastAsia="Arial" w:hAnsi="Arial"/>
        <w:color w:val="5A6A82"/>
        <w:sz w:val="18"/>
        <w:szCs w:val="18"/>
      </w:rPr>
      <w:t xml:space="preserve">Page </w:t>
    </w:r>
    <w:r>
      <w:rPr>
        <w:rFonts w:ascii="Arial" w:cs="Arial" w:eastAsia="Arial" w:hAnsi="Arial"/>
        <w:color w:val="5A6A8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A82"/>
        <w:sz w:val="18"/>
        <w:szCs w:val="18"/>
      </w:rPr>
      <w:t xml:space="preserve"> of </w:t>
    </w:r>
    <w:r>
      <w:rPr>
        <w:rFonts w:ascii="Arial" w:cs="Arial" w:eastAsia="Arial" w:hAnsi="Arial"/>
        <w:color w:val="5A6A8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4"/>
      </w:pBdr>
      <w:tabs>
        <w:tab w:val="right" w:pos="9026"/>
      </w:tabs>
    </w:pPr>
    <w:r>
      <w:rPr>
        <w:rFonts w:ascii="Arial" w:cs="Arial" w:eastAsia="Arial" w:hAnsi="Arial"/>
        <w:color w:val="5A6A82"/>
        <w:sz w:val="18"/>
        <w:szCs w:val="18"/>
      </w:rPr>
      <w:t xml:space="preserve">FinPilot  |  Executive Summary  |  Confidential</w:t>
    </w:r>
    <w:r>
      <w:rPr>
        <w:rFonts w:ascii="Arial" w:cs="Arial" w:eastAsia="Arial" w:hAnsi="Arial"/>
        <w:color w:val="5A6A82"/>
        <w:sz w:val="18"/>
        <w:szCs w:val="18"/>
      </w:rPr>
      <w:t xml:space="preserve">	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2026-03-30T16:16:24.771Z</dcterms:created>
  <dcterms:modified xsi:type="dcterms:W3CDTF">2026-03-30T16:16:24.772Z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