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4"/>
          <w:szCs w:val="34"/>
        </w:rPr>
        <w:t xml:space="preserve">Financial Projections &amp; Funding</w:t>
      </w:r>
    </w:p>
    <w:p>
      <w:pPr>
        <w:pBdr>
          <w:bottom w:val="single" w:color="C8A415" w:sz="12" w:space="6"/>
        </w:pBdr>
        <w:spacing w:before="0" w:after="300"/>
        <w:jc w:val="center"/>
      </w:pPr>
      <w:r>
        <w:rPr>
          <w:rFonts w:ascii="Arial" w:cs="Arial" w:eastAsia="Arial" w:hAnsi="Arial"/>
          <w:b/>
          <w:bCs/>
          <w:color w:val="5A6A82"/>
          <w:sz w:val="30"/>
          <w:szCs w:val="30"/>
        </w:rPr>
        <w:t xml:space="preserve">3-Year Model &amp; Investment Plan  2026–2029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Financial Model (Grant Application)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Funding Required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€500,000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Key Financial Metrics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Year 1 ARR: €85,000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Break-even: Month 18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Year 3 ARR: €1,200,000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Gross Margin: 75–80%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CONFIDENTIAL  —  For grant evaluation and investor review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 of Financials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requires €500,000 in funding to accelerate product development, cloud infrastructure, and market entry across the DACH region and European Union. The investment targets: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completion: Next.js frontend, mobile app (React Native), and broker integration (Alpaca, Interactive Brokers)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Operational infrastructure: AWS cloud deployment, PostgreSQL migration, monitoring (Prometheus/Grafana), and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Go-to-market: Content marketing, paid acquisition, and partnership development with financial brokers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Conservative projections show break-even at month 18 with €340,000 revenue in Year 2 and €1.2M in Year 3. The company is positioned for Series A fundraising by late 2027 with 1,000+ paying customers and €10M+ valuation.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Key Financial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Year 1: 1,500 Pro tier customers (€29/month), 300 Premium tier (€99/month), 100 API developers (€49/10K API calls), launch 2 white-label clients (€5K–€20K/month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Year 2: 6,000 Pro, 1,200 Premium, 400 API developers, 5 white-label clients expanding revenue to €340,000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Year 3: 20,000 Pro, 4,000 Premium, 1,000 API developers, 20 white-label clients reaching €1,200,000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Churn: 5% monthly Pro tier, 2% Premium tier (institutional stickiness)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 (Customer Acquisition Cost): €8 Pro, €50 Premium, €500 white-label (via content + paid channels)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 (Lifetime Value): €230 Pro (2-year avg), €1,080 Premium (3-year avg), €120K white-label (5-year average)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Revenue Model Breakdown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Revenue Streams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02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Volume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 Tier (Monthly SaaS)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€29/month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€522K 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20,000 AVG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€7M 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Tier (Monthly SaaS)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€99/month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€356K 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4,000 AVG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€4.75M 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Developer (Pay-per-use)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€49/10K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€240K 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 active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€2.4M 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White-Label (Monthly B2B)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€5K–€20K/month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€120K 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clients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€3.6M 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ANNUAL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€85,000*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€1,200,000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*Year 1 conservative: Ramp-up period with 6-month launch delay + organic growth emphasis. Year 2: €340K. Year 3: €1.2M.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Gross Margin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COGS (Cloud, Data Feeds)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€65,000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€240,000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€340,000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€1,200,000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Margin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€275,000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€960,000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3-Year P&amp;L Projection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Consolidated Income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2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(€)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Pro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207,000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696,000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Premium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144,000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475,000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API Developers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441,000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1,441,000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OF GOODS SOLD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Cloud Infrastructure (AWS)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Data Feeds &amp; Licensing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65,000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376,000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1,201,000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Gross Margin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OPERATING 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Salaries &amp; Benefits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Marketing &amp; 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Product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G&amp;A / Legal /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OPERATING 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710,000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EBITDA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-205,000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-74,000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491,000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Depreciation &amp; Amortization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EBIT (Operating Income)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-84,000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476,000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 INCOME (pre-tax)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-84,000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476,000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Effective Tax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 INCOME (after-tax)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-84,000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CUMULATIVE NET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-299,000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87,000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Insight: Break-even occurs in Month 18 (Q2 2027). By end of Year 3, cumulative net income is positive with €386K annual profit.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Use of Funds (€500,000)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Capital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2000"/>
        <w:gridCol w:w="122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Personnel (Year 1 Hires)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Senior Eng, 1 Product Manager, 1 Marketing Manager, 1 DevOps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Infrastructure &amp;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T3/RDS, real-time data feeds, monitoring setup, security audits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Q2-Q4 2026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frontend, React Native mobile app, Alpaca/IB broker connectors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&amp; GTM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Q2-Q4 2026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marketing, 5 conference sponsorships, Google Ads campaign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/ Admin / Contingency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 2026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GmbH registration, IP protection, office setup, legal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FUNDING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Spending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400"/>
        <w:gridCol w:w="1400"/>
        <w:gridCol w:w="1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€60K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Q4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12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€20K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Monthly Cashflow Year 1 (Quarterly View)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Q1–Q4 2026 Cashflow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Year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Operating Cashflow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-€50K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-€80K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-€30K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-€220K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Revenue (Actual)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€12K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€45K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Financing (Grant/Investment)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€500K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 Cashflow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€450K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-€72K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-€48K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-€5K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€325K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Cumulative Cash Position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€450K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€378K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€330K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€325K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€325K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Summary: Funding of €500K in Q1/Q2 2026 covers operations through Q3 2027 with customer revenue ramp offsetting burn.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Key Financial Assumptions &amp; Sensitivities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Core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Acquisition: €8 CAC for Pro tier (organic + paid search), €50 for Premium (content marketing), €500 for white-label (sales team)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Churn Rates: 5% monthly Pro (high experiment rate, low switching cost), 2% monthly Premium (institutional commitment)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Pricing: Pro €29, Premium €99, API €49/10K calls, white-label €5K–€20K/month (fixed + revenue share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Gross Margin: 75–80% (cloud costs scale sublinearly, data feeds negotiable at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Break-even: Month 18 (Q2 2027), requiring €340K cumulative revenue by then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 assumptions: Corporate income tax 19% (Austrian standard), no deductions in first year due to NOL carryforwards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Scenario Analysis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Conservative Case (-40% revenue growth)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underperform 40%: Year 1 €51K, Year 2 €204K, Year 3 €720K. Break-even extends to Month 22. Requires pivot or additional seed capital by Month 15. Success threshold: €2K MRR by Month 12.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Base Case (planned growth)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Achieves projections: Year 1 €85K, Year 2 €340K, Year 3 €1.2M. Break-even Month 18. Series A readiness Q4 2027. Valuation target: €10M post-money.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Optimistic Case (+60% revenue growth)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Viral adoption or major partnership: Year 1 €150K, Year 2 €550K, Year 3 €1.8M. Break-even Month 12. Series A by Q2 2027 at €25M+ valuation. Enables aggressive hiring and global expansion.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Grant Funding Timeline &amp; Programs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Target Grant Programs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122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FFG Basisprogramm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Innovation, DACH market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Gründungsfonds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Startup acceleration, EU reach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riz-up GENIUS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Austrian founder support, scaling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EIC Accelerator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€250K+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Scale-up, European expansion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NSF SBIR Phase I (US)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International market research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Future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Funding Mix Strategy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€500K target allocation: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€200K from FFG Basisprogramm (non-dilutive, low burden)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€150K from aws Gründungsfonds (strategic support + cloud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€100K from riz-up GENIUS (founder-friendly terms)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€50K seed investment from angel or early-stage VC (strategic help, network)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Financial Covenant Management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Proposed funding terms: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Non-dilutive grants (FFG, aws, riz-up): Zero equity, performance reporting quarterly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investment: 3–5% equity, 1 board seat, 2–3 year liquidity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Runway guarantee: €500K funding = 15 months runway at €32K/month burn (conservative)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Exit timeline: Series A by Q4 2027, acquisition or IPO by 2030 target</w:t>
      </w:r>
    </w:p>
    <w:p>
      <w:pPr>
        <w:spacing w:after="120"/>
      </w:pPr>
      <w:r>
        <w:t xml:space="preserve"/>
      </w:r>
    </w:p>
    <w:p>
      <w:pPr>
        <w:spacing w:before="300" w:after="300"/>
        <w:jc w:val="center"/>
      </w:pPr>
      <w:r>
        <w:rPr>
          <w:rFonts w:ascii="Arial" w:cs="Arial" w:eastAsia="Arial" w:hAnsi="Arial"/>
          <w:b/>
          <w:bCs/>
          <w:i/>
          <w:iCs/>
          <w:color w:val="5A6A82"/>
          <w:sz w:val="22"/>
          <w:szCs w:val="22"/>
        </w:rPr>
        <w:t xml:space="preserve">— End of Financial Projections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FinPilot Financial Projections  |  Page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of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Financial Projections  |  Confidential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A6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2026-03-30T16:32:37.869Z</dcterms:created>
  <dcterms:modified xsi:type="dcterms:W3CDTF">2026-03-30T16:32:37.869Z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