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60"/>
        <w:jc w:val="center"/>
      </w:pPr>
      <w:r>
        <w:rPr>
          <w:rFonts w:ascii="Arial" w:cs="Arial" w:eastAsia="Arial" w:hAnsi="Arial"/>
          <w:b/>
          <w:bCs/>
          <w:color w:val="1B3A6B"/>
          <w:sz w:val="80"/>
          <w:szCs w:val="80"/>
        </w:rPr>
        <w:t xml:space="preserve">FinPilot</w:t>
      </w:r>
    </w:p>
    <w:p>
      <w:pPr>
        <w:spacing w:before="0" w:after="60"/>
        <w:jc w:val="center"/>
      </w:pPr>
      <w:r>
        <w:rPr>
          <w:rFonts w:ascii="Arial" w:cs="Arial" w:eastAsia="Arial" w:hAnsi="Arial"/>
          <w:color w:val="2E5FA3"/>
          <w:sz w:val="34"/>
          <w:szCs w:val="34"/>
        </w:rPr>
        <w:t xml:space="preserve">Yapay Zeka Destekli Yatırım Analiz Platformu</w:t>
      </w:r>
    </w:p>
    <w:p>
      <w:pPr>
        <w:pBdr>
          <w:bottom w:val="single" w:color="C8A415" w:sz="12" w:space="6"/>
        </w:pBdr>
        <w:spacing w:before="0" w:after="300"/>
        <w:jc w:val="center"/>
      </w:pPr>
      <w:r>
        <w:rPr>
          <w:rFonts w:ascii="Arial" w:cs="Arial" w:eastAsia="Arial" w:hAnsi="Arial"/>
          <w:b/>
          <w:bCs/>
          <w:color w:val="5A6A82"/>
          <w:sz w:val="30"/>
          <w:szCs w:val="30"/>
        </w:rPr>
        <w:t xml:space="preserve">İş Planı  2026</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shd w:fill="D6E4F7" w:val="clear"/>
            <w:tcMar>
              <w:top w:type="dxa" w:w="300"/>
              <w:left w:type="dxa" w:w="400"/>
              <w:bottom w:type="dxa" w:w="300"/>
              <w:right w:type="dxa" w:w="400"/>
            </w:tcMar>
          </w:tcPr>
          <w:p>
            <w:r>
              <w:rPr>
                <w:rFonts w:ascii="Arial" w:cs="Arial" w:eastAsia="Arial" w:hAnsi="Arial"/>
                <w:b/>
                <w:bCs/>
                <w:color w:val="5A6A82"/>
                <w:sz w:val="20"/>
                <w:szCs w:val="20"/>
              </w:rPr>
              <w:t xml:space="preserve">Belge Türü</w:t>
            </w:r>
          </w:p>
          <w:p>
            <w:r>
              <w:rPr>
                <w:rFonts w:ascii="Arial" w:cs="Arial" w:eastAsia="Arial" w:hAnsi="Arial"/>
                <w:color w:val="1B3A6B"/>
                <w:sz w:val="22"/>
                <w:szCs w:val="22"/>
              </w:rPr>
              <w:t xml:space="preserve">İş Planı (Hibe Başvuruları)</w:t>
            </w:r>
          </w:p>
          <w:p>
            <w:pPr>
              <w:spacing w:after="120"/>
            </w:pPr>
            <w:r>
              <w:t xml:space="preserve"/>
            </w:r>
          </w:p>
          <w:p>
            <w:r>
              <w:rPr>
                <w:rFonts w:ascii="Arial" w:cs="Arial" w:eastAsia="Arial" w:hAnsi="Arial"/>
                <w:b/>
                <w:bCs/>
                <w:color w:val="5A6A82"/>
                <w:sz w:val="20"/>
                <w:szCs w:val="20"/>
              </w:rPr>
              <w:t xml:space="preserve">Sürüm</w:t>
            </w:r>
          </w:p>
          <w:p>
            <w:r>
              <w:rPr>
                <w:rFonts w:ascii="Arial" w:cs="Arial" w:eastAsia="Arial" w:hAnsi="Arial"/>
                <w:color w:val="1B3A6B"/>
                <w:sz w:val="22"/>
                <w:szCs w:val="22"/>
              </w:rPr>
              <w:t xml:space="preserve">1.0  —  Mart 2026</w:t>
            </w:r>
          </w:p>
        </w:tc>
        <w:tc>
          <w:tcPr>
            <w:tcW w:type="dxa" w:w="4513"/>
            <w:tcBorders>
              <w:top w:val="none" w:color="FFFFFF" w:sz="0"/>
              <w:left w:val="none" w:color="FFFFFF" w:sz="0"/>
              <w:bottom w:val="none" w:color="FFFFFF" w:sz="0"/>
              <w:right w:val="none" w:color="FFFFFF" w:sz="0"/>
            </w:tcBorders>
            <w:shd w:fill="F4F6FA" w:val="clear"/>
            <w:tcMar>
              <w:top w:type="dxa" w:w="300"/>
              <w:left w:type="dxa" w:w="400"/>
              <w:bottom w:type="dxa" w:w="300"/>
              <w:right w:type="dxa" w:w="400"/>
            </w:tcMar>
          </w:tcPr>
          <w:p>
            <w:r>
              <w:rPr>
                <w:rFonts w:ascii="Arial" w:cs="Arial" w:eastAsia="Arial" w:hAnsi="Arial"/>
                <w:b/>
                <w:bCs/>
                <w:color w:val="5A6A82"/>
                <w:sz w:val="20"/>
                <w:szCs w:val="20"/>
              </w:rPr>
              <w:t xml:space="preserve">Hedef Hibe Programları</w:t>
            </w:r>
          </w:p>
          <w:p>
            <w:r>
              <w:rPr>
                <w:rFonts w:ascii="Arial" w:cs="Arial" w:eastAsia="Arial" w:hAnsi="Arial"/>
                <w:color w:val="1A1A1A"/>
                <w:sz w:val="20"/>
                <w:szCs w:val="20"/>
              </w:rPr>
              <w:t xml:space="preserve">• FFG Basisprogramm 2026</w:t>
            </w:r>
          </w:p>
          <w:p>
            <w:r>
              <w:rPr>
                <w:rFonts w:ascii="Arial" w:cs="Arial" w:eastAsia="Arial" w:hAnsi="Arial"/>
                <w:color w:val="1A1A1A"/>
                <w:sz w:val="20"/>
                <w:szCs w:val="20"/>
              </w:rPr>
              <w:t xml:space="preserve">• aws Gründungsfonds II</w:t>
            </w:r>
          </w:p>
          <w:p>
            <w:r>
              <w:rPr>
                <w:rFonts w:ascii="Arial" w:cs="Arial" w:eastAsia="Arial" w:hAnsi="Arial"/>
                <w:color w:val="1A1A1A"/>
                <w:sz w:val="20"/>
                <w:szCs w:val="20"/>
              </w:rPr>
              <w:t xml:space="preserve">• EIC Accelerator 2026</w:t>
            </w:r>
          </w:p>
          <w:p>
            <w:r>
              <w:rPr>
                <w:rFonts w:ascii="Arial" w:cs="Arial" w:eastAsia="Arial" w:hAnsi="Arial"/>
                <w:color w:val="1A1A1A"/>
                <w:sz w:val="20"/>
                <w:szCs w:val="20"/>
              </w:rPr>
              <w:t xml:space="preserve">• riz-up GENIUS 2026</w:t>
            </w:r>
          </w:p>
        </w:tc>
      </w:tr>
    </w:tbl>
    <w:p>
      <w:pPr>
        <w:spacing w:after="120"/>
      </w:pPr>
      <w:r>
        <w:t xml:space="preserve"/>
      </w:r>
    </w:p>
    <w:p>
      <w:pPr>
        <w:pBdr>
          <w:top w:val="single" w:color="C8A415" w:sz="4" w:space="6"/>
        </w:pBdr>
        <w:spacing w:before="200"/>
        <w:jc w:val="center"/>
      </w:pPr>
      <w:r>
        <w:rPr>
          <w:rFonts w:ascii="Arial" w:cs="Arial" w:eastAsia="Arial" w:hAnsi="Arial"/>
          <w:i/>
          <w:iCs/>
          <w:color w:val="5A6A82"/>
          <w:sz w:val="18"/>
          <w:szCs w:val="18"/>
        </w:rPr>
        <w:t xml:space="preserve">GİZLİ  —  Yalnızca hibe değerlendiricileri ve yatırımcılar tarafından inceleme amaçlı</w:t>
      </w:r>
    </w:p>
    <w:p>
      <w:r>
        <w:br w:type="page"/>
      </w:r>
    </w:p>
    <w:sdt>
      <w:sdtPr>
        <w:alias w:val="İçindekiler"/>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B3A6B" w:sz="8" w:space="4"/>
        </w:pBdr>
        <w:spacing w:before="360" w:after="120"/>
      </w:pPr>
      <w:r>
        <w:rPr>
          <w:rFonts w:ascii="Arial" w:cs="Arial" w:eastAsia="Arial" w:hAnsi="Arial"/>
          <w:b/>
          <w:bCs/>
          <w:color w:val="1B3A6B"/>
          <w:sz w:val="28"/>
          <w:szCs w:val="28"/>
        </w:rPr>
        <w:t xml:space="preserve">1. Şirket Özeti</w:t>
      </w:r>
    </w:p>
    <w:p>
      <w:pPr>
        <w:spacing w:after="120"/>
      </w:pPr>
      <w:r>
        <w:rPr>
          <w:rFonts w:ascii="Arial" w:cs="Arial" w:eastAsia="Arial" w:hAnsi="Arial"/>
          <w:color w:val="1A1A1A"/>
          <w:sz w:val="22"/>
          <w:szCs w:val="22"/>
        </w:rPr>
        <w:t xml:space="preserve">FinPilot, Gänserndorf, Avusturya'da geliştirilmiş yapay zeka destekli bir yatırım analiz platformudur. Platform, Deep Reinforcement Learning (DRL) ajanlarını çok sağlayıcılı bir Large Language Model (LLM) yönlendiricisiyle birleştirerek, 11 pazar sektörü genelinde 1.148 NASDAQ sembolü genelinde otomasyonlu hisse senedi analizi sağlar.</w:t>
      </w:r>
    </w:p>
    <w:p>
      <w:pPr>
        <w:spacing w:after="120"/>
      </w:pPr>
      <w:r>
        <w:t xml:space="preserve"/>
      </w:r>
    </w:p>
    <w:p>
      <w:pPr>
        <w:pStyle w:val="Heading2"/>
        <w:spacing w:before="240" w:after="80"/>
      </w:pPr>
      <w:r>
        <w:rPr>
          <w:rFonts w:ascii="Arial" w:cs="Arial" w:eastAsia="Arial" w:hAnsi="Arial"/>
          <w:b/>
          <w:bCs/>
          <w:color w:val="2E5FA3"/>
          <w:sz w:val="24"/>
          <w:szCs w:val="24"/>
        </w:rPr>
        <w:t xml:space="preserve">1.1 Misyon Açıklaması</w:t>
      </w:r>
    </w:p>
    <w:p>
      <w:pPr>
        <w:spacing w:after="120"/>
      </w:pPr>
      <w:r>
        <w:rPr>
          <w:rFonts w:ascii="Arial" w:cs="Arial" w:eastAsia="Arial" w:hAnsi="Arial"/>
          <w:color w:val="1A1A1A"/>
          <w:sz w:val="22"/>
          <w:szCs w:val="22"/>
        </w:rPr>
        <w:t xml:space="preserve">Algoritmic yatırım analizini demokratikleştirmek, kurumsal seviye yapay zeka teknolojisini bireysel yatırımcılara, küçük fonlara ve fintech geliştiricilerine geleneksel çözümlerin maliyetinin kesirinden erişilebilir kılarak.</w:t>
      </w:r>
    </w:p>
    <w:p>
      <w:pPr>
        <w:spacing w:after="120"/>
      </w:pPr>
      <w:r>
        <w:t xml:space="preserve"/>
      </w:r>
    </w:p>
    <w:p>
      <w:pPr>
        <w:pStyle w:val="Heading2"/>
        <w:spacing w:before="240" w:after="80"/>
      </w:pPr>
      <w:r>
        <w:rPr>
          <w:rFonts w:ascii="Arial" w:cs="Arial" w:eastAsia="Arial" w:hAnsi="Arial"/>
          <w:b/>
          <w:bCs/>
          <w:color w:val="2E5FA3"/>
          <w:sz w:val="24"/>
          <w:szCs w:val="24"/>
        </w:rPr>
        <w:t xml:space="preserve">1.2 Şirket Bilgileri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Alan</w:t>
            </w:r>
          </w:p>
        </w:tc>
        <w:tc>
          <w:tcPr>
            <w:tcW w:type="dxa" w:w="6026"/>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Detaylar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Şirket Adı</w:t>
            </w:r>
          </w:p>
        </w:tc>
        <w:tc>
          <w:tcPr>
            <w:tcW w:type="dxa" w:w="6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FinPilot</w:t>
            </w:r>
          </w:p>
        </w:tc>
      </w:tr>
      <w:tr>
        <w:tc>
          <w:tcPr>
            <w:tcW w:type="dxa" w:w="30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Konum</w:t>
            </w:r>
          </w:p>
        </w:tc>
        <w:tc>
          <w:tcPr>
            <w:tcW w:type="dxa" w:w="6026"/>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Gänserndorf, Niederösterreich, Avusturya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Kuruluş</w:t>
            </w:r>
          </w:p>
        </w:tc>
        <w:tc>
          <w:tcPr>
            <w:tcW w:type="dxa" w:w="6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2024 (Sprint 1)</w:t>
            </w:r>
          </w:p>
        </w:tc>
      </w:tr>
      <w:tr>
        <w:tc>
          <w:tcPr>
            <w:tcW w:type="dxa" w:w="30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Mevcut Aşama</w:t>
            </w:r>
          </w:p>
        </w:tc>
        <w:tc>
          <w:tcPr>
            <w:tcW w:type="dxa" w:w="6026"/>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Sprint 22 — Gelişmiş Prototip / Pre-Revenue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Platform Sürümü</w:t>
            </w:r>
          </w:p>
        </w:tc>
        <w:tc>
          <w:tcPr>
            <w:tcW w:type="dxa" w:w="6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v1.7.0</w:t>
            </w:r>
          </w:p>
        </w:tc>
      </w:tr>
      <w:tr>
        <w:tc>
          <w:tcPr>
            <w:tcW w:type="dxa" w:w="30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İletişim</w:t>
            </w:r>
          </w:p>
        </w:tc>
        <w:tc>
          <w:tcPr>
            <w:tcW w:type="dxa" w:w="6026"/>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mericbsk@gmail.com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Hedef Pazarlar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Avusturya, Avrupa Birliği, Amerika Birleşik Devletleri</w:t>
            </w:r>
          </w:p>
        </w:tc>
      </w:tr>
    </w:tbl>
    <w:p>
      <w:pPr>
        <w:spacing w:after="120"/>
      </w:pPr>
      <w:r>
        <w:t xml:space="preserve"/>
      </w:r>
    </w:p>
    <w:p>
      <w:pPr>
        <w:pStyle w:val="Heading2"/>
        <w:spacing w:before="240" w:after="80"/>
      </w:pPr>
      <w:r>
        <w:rPr>
          <w:rFonts w:ascii="Arial" w:cs="Arial" w:eastAsia="Arial" w:hAnsi="Arial"/>
          <w:b/>
          <w:bCs/>
          <w:color w:val="2E5FA3"/>
          <w:sz w:val="24"/>
          <w:szCs w:val="24"/>
        </w:rPr>
        <w:t xml:space="preserve">1.3 Geliştirme Tarihi</w:t>
      </w:r>
    </w:p>
    <w:p>
      <w:pPr>
        <w:spacing w:after="120"/>
      </w:pPr>
      <w:r>
        <w:rPr>
          <w:rFonts w:ascii="Arial" w:cs="Arial" w:eastAsia="Arial" w:hAnsi="Arial"/>
          <w:color w:val="1A1A1A"/>
          <w:sz w:val="22"/>
          <w:szCs w:val="22"/>
        </w:rPr>
        <w:t xml:space="preserve">FinPilot katı bir sprint tabanlı metodoloji ile geliştirilmiş olup, 22 tamamlanmış geliştirme döngüsüne sahiptir. Her sprint ölçülebilir, test edilebilir işlevsellik sunmuştur:</w:t>
      </w:r>
    </w:p>
    <w:p>
      <w:pPr>
        <w:pStyle w:val="ListParagraph"/>
        <w:numPr>
          <w:ilvl w:val="0"/>
          <w:numId w:val="2"/>
        </w:numPr>
        <w:spacing w:after="80"/>
      </w:pPr>
      <w:r>
        <w:rPr>
          <w:rFonts w:ascii="Arial" w:cs="Arial" w:eastAsia="Arial" w:hAnsi="Arial"/>
          <w:color w:val="1A1A1A"/>
          <w:sz w:val="22"/>
          <w:szCs w:val="22"/>
        </w:rPr>
        <w:t xml:space="preserve">Sprintler 1–8: Çekirdek tarayıcı, veri işlem hattı, Streamlit panosu, Telegram bildirimleri.</w:t>
      </w:r>
    </w:p>
    <w:p>
      <w:pPr>
        <w:pStyle w:val="ListParagraph"/>
        <w:numPr>
          <w:ilvl w:val="0"/>
          <w:numId w:val="2"/>
        </w:numPr>
        <w:spacing w:after="80"/>
      </w:pPr>
      <w:r>
        <w:rPr>
          <w:rFonts w:ascii="Arial" w:cs="Arial" w:eastAsia="Arial" w:hAnsi="Arial"/>
          <w:color w:val="1A1A1A"/>
          <w:sz w:val="22"/>
          <w:szCs w:val="22"/>
        </w:rPr>
        <w:t xml:space="preserve">Sprintler 9–14: DRL ajmanı eğitimi (PPO/SAC/TD3/A2C), ileri-geri doğrulama, model kaydı.</w:t>
      </w:r>
    </w:p>
    <w:p>
      <w:pPr>
        <w:pStyle w:val="ListParagraph"/>
        <w:numPr>
          <w:ilvl w:val="0"/>
          <w:numId w:val="2"/>
        </w:numPr>
        <w:spacing w:after="80"/>
      </w:pPr>
      <w:r>
        <w:rPr>
          <w:rFonts w:ascii="Arial" w:cs="Arial" w:eastAsia="Arial" w:hAnsi="Arial"/>
          <w:color w:val="1A1A1A"/>
          <w:sz w:val="22"/>
          <w:szCs w:val="22"/>
        </w:rPr>
        <w:t xml:space="preserve">Sprintler 15–18: Ödül şekillendirmesi, müfredat öğrenmesi, PilotShield risk kontrolü, Optuna HPO.</w:t>
      </w:r>
    </w:p>
    <w:p>
      <w:pPr>
        <w:pStyle w:val="ListParagraph"/>
        <w:numPr>
          <w:ilvl w:val="0"/>
          <w:numId w:val="2"/>
        </w:numPr>
        <w:spacing w:after="80"/>
      </w:pPr>
      <w:r>
        <w:rPr>
          <w:rFonts w:ascii="Arial" w:cs="Arial" w:eastAsia="Arial" w:hAnsi="Arial"/>
          <w:color w:val="1A1A1A"/>
          <w:sz w:val="22"/>
          <w:szCs w:val="22"/>
        </w:rPr>
        <w:t xml:space="preserve">Sprintler 19–22: LLM Yönlendiricisi (Groq→Claude→Gemini), FastAPI arka uçu, JWT kimlik doğrulaması, PostgreSQL göçü, CI/CD sertleştirmesi.</w:t>
      </w:r>
    </w:p>
    <w:p>
      <w:pPr>
        <w:spacing w:after="120"/>
      </w:pPr>
      <w:r>
        <w:t xml:space="preserve"/>
      </w:r>
    </w:p>
    <w:p>
      <w:r>
        <w:br w:type="page"/>
      </w:r>
    </w:p>
    <w:p>
      <w:pPr>
        <w:pStyle w:val="Heading1"/>
        <w:pBdr>
          <w:bottom w:val="single" w:color="1B3A6B" w:sz="8" w:space="4"/>
        </w:pBdr>
        <w:spacing w:before="360" w:after="120"/>
      </w:pPr>
      <w:r>
        <w:rPr>
          <w:rFonts w:ascii="Arial" w:cs="Arial" w:eastAsia="Arial" w:hAnsi="Arial"/>
          <w:b/>
          <w:bCs/>
          <w:color w:val="1B3A6B"/>
          <w:sz w:val="28"/>
          <w:szCs w:val="28"/>
        </w:rPr>
        <w:t xml:space="preserve">2. Problem &amp; Çözüm</w:t>
      </w:r>
    </w:p>
    <w:p>
      <w:pPr>
        <w:pStyle w:val="Heading2"/>
        <w:spacing w:before="240" w:after="80"/>
      </w:pPr>
      <w:r>
        <w:rPr>
          <w:rFonts w:ascii="Arial" w:cs="Arial" w:eastAsia="Arial" w:hAnsi="Arial"/>
          <w:b/>
          <w:bCs/>
          <w:color w:val="2E5FA3"/>
          <w:sz w:val="24"/>
          <w:szCs w:val="24"/>
        </w:rPr>
        <w:t xml:space="preserve">2.1 Problem</w:t>
      </w:r>
    </w:p>
    <w:p>
      <w:pPr>
        <w:spacing w:after="120"/>
      </w:pPr>
      <w:r>
        <w:rPr>
          <w:rFonts w:ascii="Arial" w:cs="Arial" w:eastAsia="Arial" w:hAnsi="Arial"/>
          <w:color w:val="1A1A1A"/>
          <w:sz w:val="22"/>
          <w:szCs w:val="22"/>
        </w:rPr>
        <w:t xml:space="preserve">Perakende yatırımcılar, kurumsal oyunculara kıyasla temel bir bilgi asimetrisiyle karşı karşıyadır. Hedge fonları ve yatırım bankaları sofistike algoritmik araçlar konuşlandırırken, bireysel yatırımcılar gösterge sağlayan ancak akıllı karar desteği olmayan temel grafik uygulamalarla bırakılır.</w:t>
      </w:r>
    </w:p>
    <w:p>
      <w:pPr>
        <w:spacing w:after="120"/>
      </w:pPr>
      <w:r>
        <w:t xml:space="preserve"/>
      </w:r>
    </w:p>
    <w:p>
      <w:pPr>
        <w:pStyle w:val="Heading3"/>
        <w:spacing w:before="180" w:after="60"/>
      </w:pPr>
      <w:r>
        <w:rPr>
          <w:rFonts w:ascii="Arial" w:cs="Arial" w:eastAsia="Arial" w:hAnsi="Arial"/>
          <w:b/>
          <w:bCs/>
          <w:color w:val="5A6A82"/>
          <w:sz w:val="22"/>
          <w:szCs w:val="22"/>
        </w:rPr>
        <w:t xml:space="preserve">Ana Ağrı Noktaları</w:t>
      </w:r>
    </w:p>
    <w:p>
      <w:pPr>
        <w:pStyle w:val="ListParagraph"/>
        <w:numPr>
          <w:ilvl w:val="0"/>
          <w:numId w:val="2"/>
        </w:numPr>
        <w:spacing w:after="80"/>
      </w:pPr>
      <w:r>
        <w:rPr>
          <w:rFonts w:ascii="Arial" w:cs="Arial" w:eastAsia="Arial" w:hAnsi="Arial"/>
          <w:color w:val="1A1A1A"/>
          <w:sz w:val="22"/>
          <w:szCs w:val="22"/>
        </w:rPr>
        <w:t xml:space="preserve">Maliyet bariyeri: Profesyonel sistemler (Bloomberg Terminal €25K/yıl, FactSet €30K/yıl) %99 perakende yatırımcı için erişilmez.</w:t>
      </w:r>
    </w:p>
    <w:p>
      <w:pPr>
        <w:pStyle w:val="ListParagraph"/>
        <w:numPr>
          <w:ilvl w:val="0"/>
          <w:numId w:val="2"/>
        </w:numPr>
        <w:spacing w:after="80"/>
      </w:pPr>
      <w:r>
        <w:rPr>
          <w:rFonts w:ascii="Arial" w:cs="Arial" w:eastAsia="Arial" w:hAnsi="Arial"/>
          <w:color w:val="1A1A1A"/>
          <w:sz w:val="22"/>
          <w:szCs w:val="22"/>
        </w:rPr>
        <w:t xml:space="preserve">Karmaşıklık bariyeri: Mevcut algoritmik araçlar (QuantConnect, Zipline) ileri programlama becerileri gerektirir.</w:t>
      </w:r>
    </w:p>
    <w:p>
      <w:pPr>
        <w:pStyle w:val="ListParagraph"/>
        <w:numPr>
          <w:ilvl w:val="0"/>
          <w:numId w:val="2"/>
        </w:numPr>
        <w:spacing w:after="80"/>
      </w:pPr>
      <w:r>
        <w:rPr>
          <w:rFonts w:ascii="Arial" w:cs="Arial" w:eastAsia="Arial" w:hAnsi="Arial"/>
          <w:color w:val="1A1A1A"/>
          <w:sz w:val="22"/>
          <w:szCs w:val="22"/>
        </w:rPr>
        <w:t xml:space="preserve">Bilgi aşırı yükü: Başlıca borsalarda 5.000'den fazla işlem gören sembol; manuel analiz imkansız.</w:t>
      </w:r>
    </w:p>
    <w:p>
      <w:pPr>
        <w:pStyle w:val="ListParagraph"/>
        <w:numPr>
          <w:ilvl w:val="0"/>
          <w:numId w:val="2"/>
        </w:numPr>
        <w:spacing w:after="80"/>
      </w:pPr>
      <w:r>
        <w:rPr>
          <w:rFonts w:ascii="Arial" w:cs="Arial" w:eastAsia="Arial" w:hAnsi="Arial"/>
          <w:color w:val="1A1A1A"/>
          <w:sz w:val="22"/>
          <w:szCs w:val="22"/>
        </w:rPr>
        <w:t xml:space="preserve">Uyarlanabilir öğrenme yok: Statik kural tabanlı göstergeler pazar rejimi değişikliklerinden öğrenmez.</w:t>
      </w:r>
    </w:p>
    <w:p>
      <w:pPr>
        <w:pStyle w:val="ListParagraph"/>
        <w:numPr>
          <w:ilvl w:val="0"/>
          <w:numId w:val="2"/>
        </w:numPr>
        <w:spacing w:after="80"/>
      </w:pPr>
      <w:r>
        <w:rPr>
          <w:rFonts w:ascii="Arial" w:cs="Arial" w:eastAsia="Arial" w:hAnsi="Arial"/>
          <w:color w:val="1A1A1A"/>
          <w:sz w:val="22"/>
          <w:szCs w:val="22"/>
        </w:rPr>
        <w:t xml:space="preserve">Parçalanmış istihbarat: Teknik analiz, temel veriler, duyarlılık ve on-chain sinyalleri ayrı silos'da bulunur.</w:t>
      </w:r>
    </w:p>
    <w:p>
      <w:pPr>
        <w:spacing w:after="120"/>
      </w:pPr>
      <w:r>
        <w:t xml:space="preserve"/>
      </w:r>
    </w:p>
    <w:p>
      <w:pPr>
        <w:pStyle w:val="Heading2"/>
        <w:spacing w:before="240" w:after="80"/>
      </w:pPr>
      <w:r>
        <w:rPr>
          <w:rFonts w:ascii="Arial" w:cs="Arial" w:eastAsia="Arial" w:hAnsi="Arial"/>
          <w:b/>
          <w:bCs/>
          <w:color w:val="2E5FA3"/>
          <w:sz w:val="24"/>
          <w:szCs w:val="24"/>
        </w:rPr>
        <w:t xml:space="preserve">2.2 Çözümümüz</w:t>
      </w:r>
    </w:p>
    <w:p>
      <w:pPr>
        <w:spacing w:after="120"/>
      </w:pPr>
      <w:r>
        <w:rPr>
          <w:rFonts w:ascii="Arial" w:cs="Arial" w:eastAsia="Arial" w:hAnsi="Arial"/>
          <w:color w:val="1A1A1A"/>
          <w:sz w:val="22"/>
          <w:szCs w:val="22"/>
        </w:rPr>
        <w:t xml:space="preserve">FinPilot, daha önce parçalanmış olan beş istihbarat katmanını tek bir otomatikleştirilmiş platformda birleştirir: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2726"/>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İstihbarat Katmanı</w:t>
            </w:r>
          </w:p>
        </w:tc>
        <w:tc>
          <w:tcPr>
            <w:tcW w:type="dxa" w:w="3500"/>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FinPilot Uygulaması</w:t>
            </w:r>
          </w:p>
        </w:tc>
        <w:tc>
          <w:tcPr>
            <w:tcW w:type="dxa" w:w="2726"/>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Değiştirir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Teknik Analiz</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Tarayıcı: 1.148 sembol, 11 sektor, EMA/RSI/MACD/BB/ATR</w:t>
            </w:r>
          </w:p>
        </w:tc>
        <w:tc>
          <w:tcPr>
            <w:tcW w:type="dxa" w:w="27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TradingView (€15/ay)</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Uyarlanabilir Öğrenme</w:t>
            </w:r>
          </w:p>
        </w:tc>
        <w:tc>
          <w:tcPr>
            <w:tcW w:type="dxa" w:w="35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19 DRL Ajanı (PPO/SAC/TD3/A2C) İleri-geri Retraining ile</w:t>
            </w:r>
          </w:p>
        </w:tc>
        <w:tc>
          <w:tcPr>
            <w:tcW w:type="dxa" w:w="2726"/>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Bloomberg (€25K/yıl)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LLM Sentezi</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Groq→Claude→Gemini yönlendiricisi, otomatik failover, %99.9 uptime</w:t>
            </w:r>
          </w:p>
        </w:tc>
        <w:tc>
          <w:tcPr>
            <w:tcW w:type="dxa" w:w="27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Manuel Analist Raporları</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Geri Test</w:t>
            </w:r>
          </w:p>
        </w:tc>
        <w:tc>
          <w:tcPr>
            <w:tcW w:type="dxa" w:w="35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Tarihsel Backtesting Engine, Optuna HPO, 30 Trial/Ajan</w:t>
            </w:r>
          </w:p>
        </w:tc>
        <w:tc>
          <w:tcPr>
            <w:tcW w:type="dxa" w:w="2726"/>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QuantConnect (€200/ay)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Risk Yönetimi</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PilotShield: pozisyon sınırları, kaldıraç kontrolleri, güven eşikleri</w:t>
            </w:r>
          </w:p>
        </w:tc>
        <w:tc>
          <w:tcPr>
            <w:tcW w:type="dxa" w:w="27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Özel Risk Sistemleri</w:t>
            </w:r>
          </w:p>
        </w:tc>
      </w:tr>
    </w:tbl>
    <w:p>
      <w:pPr>
        <w:spacing w:after="120"/>
      </w:pPr>
      <w:r>
        <w:t xml:space="preserve"/>
      </w:r>
    </w:p>
    <w:p>
      <w:pPr>
        <w:pStyle w:val="Heading2"/>
        <w:spacing w:before="240" w:after="80"/>
      </w:pPr>
      <w:r>
        <w:rPr>
          <w:rFonts w:ascii="Arial" w:cs="Arial" w:eastAsia="Arial" w:hAnsi="Arial"/>
          <w:b/>
          <w:bCs/>
          <w:color w:val="2E5FA3"/>
          <w:sz w:val="24"/>
          <w:szCs w:val="24"/>
        </w:rPr>
        <w:t xml:space="preserve">2.3 Benzersiz Değer Önerisi</w:t>
      </w:r>
    </w:p>
    <w:p>
      <w:pPr>
        <w:spacing w:after="120"/>
      </w:pPr>
      <w:r>
        <w:rPr>
          <w:rFonts w:ascii="Arial" w:cs="Arial" w:eastAsia="Arial" w:hAnsi="Arial"/>
          <w:color w:val="1A1A1A"/>
          <w:sz w:val="22"/>
          <w:szCs w:val="22"/>
        </w:rPr>
        <w:t xml:space="preserve">FinPilot, DRL tabanlı uyarlanabilir sinyal üretimini, çok-LLM sentezini ve kurumsal sınıf üretim yığınını tüketici erişilebilir bir fiyat noktasında birleştiren tek platformdur. Rekabetçi analiz, €0–€100/ay perakende segmentinde doğrudan eşdeğer göstermez.</w:t>
      </w:r>
    </w:p>
    <w:p>
      <w:pPr>
        <w:spacing w:after="120"/>
      </w:pPr>
      <w:r>
        <w:t xml:space="preserve"/>
      </w:r>
    </w:p>
    <w:p>
      <w:r>
        <w:br w:type="page"/>
      </w:r>
    </w:p>
    <w:p>
      <w:pPr>
        <w:pStyle w:val="Heading1"/>
        <w:pBdr>
          <w:bottom w:val="single" w:color="1B3A6B" w:sz="8" w:space="4"/>
        </w:pBdr>
        <w:spacing w:before="360" w:after="120"/>
      </w:pPr>
      <w:r>
        <w:rPr>
          <w:rFonts w:ascii="Arial" w:cs="Arial" w:eastAsia="Arial" w:hAnsi="Arial"/>
          <w:b/>
          <w:bCs/>
          <w:color w:val="1B3A6B"/>
          <w:sz w:val="28"/>
          <w:szCs w:val="28"/>
        </w:rPr>
        <w:t xml:space="preserve">3. Ürün</w:t>
      </w:r>
    </w:p>
    <w:p>
      <w:pPr>
        <w:pStyle w:val="Heading2"/>
        <w:spacing w:before="240" w:after="80"/>
      </w:pPr>
      <w:r>
        <w:rPr>
          <w:rFonts w:ascii="Arial" w:cs="Arial" w:eastAsia="Arial" w:hAnsi="Arial"/>
          <w:b/>
          <w:bCs/>
          <w:color w:val="2E5FA3"/>
          <w:sz w:val="24"/>
          <w:szCs w:val="24"/>
        </w:rPr>
        <w:t xml:space="preserve">3.1 Platform Mimarisi</w:t>
      </w:r>
    </w:p>
    <w:p>
      <w:pPr>
        <w:spacing w:after="120"/>
      </w:pPr>
      <w:r>
        <w:rPr>
          <w:rFonts w:ascii="Arial" w:cs="Arial" w:eastAsia="Arial" w:hAnsi="Arial"/>
          <w:color w:val="1A1A1A"/>
          <w:sz w:val="22"/>
          <w:szCs w:val="22"/>
        </w:rPr>
        <w:t xml:space="preserve">FinPilot, ön uç, API, ML motoru, veri işlem hattı ve altyapı katmanları arasında açık kaygı ayrımı ile bulut yerel, mikrohizmetler hazır bir platform olarak oluşturulmuştur.</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226"/>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Katman</w:t>
            </w:r>
          </w:p>
        </w:tc>
        <w:tc>
          <w:tcPr>
            <w:tcW w:type="dxa" w:w="4000"/>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Teknoloji</w:t>
            </w:r>
          </w:p>
        </w:tc>
        <w:tc>
          <w:tcPr>
            <w:tcW w:type="dxa" w:w="2226"/>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Durum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Pano (Birincil)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Streamlit v1.7.0 — 5-Tab Analiz Arayüzü</w:t>
            </w:r>
          </w:p>
        </w:tc>
        <w:tc>
          <w:tcPr>
            <w:tcW w:type="dxa" w:w="2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 Üretim</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Ön Uç (Next-Gen)</w:t>
            </w:r>
          </w:p>
        </w:tc>
        <w:tc>
          <w:tcPr>
            <w:tcW w:type="dxa" w:w="40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Next.js + TypeScript — modern responsive arayüz</w:t>
            </w:r>
          </w:p>
        </w:tc>
        <w:tc>
          <w:tcPr>
            <w:tcW w:type="dxa" w:w="2226"/>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 Devam Ediyor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Arka Uç API</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FastAPI — 11 yönlendirici, JWT kimlik doğrulaması, SlowAPI hız sınırlaması</w:t>
            </w:r>
          </w:p>
        </w:tc>
        <w:tc>
          <w:tcPr>
            <w:tcW w:type="dxa" w:w="2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 Üretim</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DRL Motoru</w:t>
            </w:r>
          </w:p>
        </w:tc>
        <w:tc>
          <w:tcPr>
            <w:tcW w:type="dxa" w:w="40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Stable-Baselines3 PPO/SAC/TD3/A2C + Gymnasium env</w:t>
            </w:r>
          </w:p>
        </w:tc>
        <w:tc>
          <w:tcPr>
            <w:tcW w:type="dxa" w:w="2226"/>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 Etkin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LLM Yönlendiricisi</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Groq → Claude → Gemini (otomatik failover)</w:t>
            </w:r>
          </w:p>
        </w:tc>
        <w:tc>
          <w:tcPr>
            <w:tcW w:type="dxa" w:w="2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 Üretim</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Hiperparameter Opt.</w:t>
            </w:r>
          </w:p>
        </w:tc>
        <w:tc>
          <w:tcPr>
            <w:tcW w:type="dxa" w:w="40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Optuna — 30 Trial/Ajan, SQLite/PostgreSQL</w:t>
            </w:r>
          </w:p>
        </w:tc>
        <w:tc>
          <w:tcPr>
            <w:tcW w:type="dxa" w:w="2226"/>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 Etkin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Veritabanı</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SQLite (dev) / PostgreSQL (üretim)</w:t>
            </w:r>
          </w:p>
        </w:tc>
        <w:tc>
          <w:tcPr>
            <w:tcW w:type="dxa" w:w="2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 Göç Bekleniyor</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Aracı İntegrasyonu</w:t>
            </w:r>
          </w:p>
        </w:tc>
        <w:tc>
          <w:tcPr>
            <w:tcW w:type="dxa" w:w="40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Alpaca API — kağıt ve canlı ticaret</w:t>
            </w:r>
          </w:p>
        </w:tc>
        <w:tc>
          <w:tcPr>
            <w:tcW w:type="dxa" w:w="2226"/>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 Kağıt Modu</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İzleme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Prometheus + Grafana + Sentry hata izleme</w:t>
            </w:r>
          </w:p>
        </w:tc>
        <w:tc>
          <w:tcPr>
            <w:tcW w:type="dxa" w:w="2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 Etkin</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Altyapı</w:t>
            </w:r>
          </w:p>
        </w:tc>
        <w:tc>
          <w:tcPr>
            <w:tcW w:type="dxa" w:w="40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Docker Compose + GitHub Actions CI/CD (7 iş)</w:t>
            </w:r>
          </w:p>
        </w:tc>
        <w:tc>
          <w:tcPr>
            <w:tcW w:type="dxa" w:w="2226"/>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 Üretim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Güvenlik</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JWT HS256, bcrypt, detect-secrets, Bandit/Safety</w:t>
            </w:r>
          </w:p>
        </w:tc>
        <w:tc>
          <w:tcPr>
            <w:tcW w:type="dxa" w:w="2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 Etkin</w:t>
            </w:r>
          </w:p>
        </w:tc>
      </w:tr>
    </w:tbl>
    <w:p>
      <w:pPr>
        <w:spacing w:after="120"/>
      </w:pPr>
      <w:r>
        <w:t xml:space="preserve"/>
      </w:r>
    </w:p>
    <w:p>
      <w:pPr>
        <w:pStyle w:val="Heading2"/>
        <w:spacing w:before="240" w:after="80"/>
      </w:pPr>
      <w:r>
        <w:rPr>
          <w:rFonts w:ascii="Arial" w:cs="Arial" w:eastAsia="Arial" w:hAnsi="Arial"/>
          <w:b/>
          <w:bCs/>
          <w:color w:val="2E5FA3"/>
          <w:sz w:val="24"/>
          <w:szCs w:val="24"/>
        </w:rPr>
        <w:t xml:space="preserve">3.2 DRL Ajan Yığını</w:t>
      </w:r>
    </w:p>
    <w:p>
      <w:pPr>
        <w:spacing w:after="120"/>
      </w:pPr>
      <w:r>
        <w:rPr>
          <w:rFonts w:ascii="Arial" w:cs="Arial" w:eastAsia="Arial" w:hAnsi="Arial"/>
          <w:color w:val="1A1A1A"/>
          <w:sz w:val="22"/>
          <w:szCs w:val="22"/>
        </w:rPr>
        <w:t xml:space="preserve">Tescilli DRL motoru ana teknolojik farklılaştırıcıdır. FinPilot aşağıdaki tasarım ilkeleri ile Gymnasium uyumlu bir pazar simülasyon ortamı kullanarak ajanları eğitir:</w:t>
      </w:r>
    </w:p>
    <w:p>
      <w:pPr>
        <w:pStyle w:val="ListParagraph"/>
        <w:numPr>
          <w:ilvl w:val="0"/>
          <w:numId w:val="2"/>
        </w:numPr>
        <w:spacing w:after="80"/>
      </w:pPr>
      <w:r>
        <w:rPr>
          <w:rFonts w:ascii="Arial" w:cs="Arial" w:eastAsia="Arial" w:hAnsi="Arial"/>
          <w:color w:val="1A1A1A"/>
          <w:sz w:val="22"/>
          <w:szCs w:val="22"/>
        </w:rPr>
        <w:t xml:space="preserve">İleri-geri eğitimi %70/30 train/test bölünümüyle tarihsel verilere aşırı uyumlamayı önler.</w:t>
      </w:r>
    </w:p>
    <w:p>
      <w:pPr>
        <w:pStyle w:val="ListParagraph"/>
        <w:numPr>
          <w:ilvl w:val="0"/>
          <w:numId w:val="2"/>
        </w:numPr>
        <w:spacing w:after="80"/>
      </w:pPr>
      <w:r>
        <w:rPr>
          <w:rFonts w:ascii="Arial" w:cs="Arial" w:eastAsia="Arial" w:hAnsi="Arial"/>
          <w:color w:val="1A1A1A"/>
          <w:sz w:val="22"/>
          <w:szCs w:val="22"/>
        </w:rPr>
        <w:t xml:space="preserve">5-aşamalı müfredat öğrenmesi stabil yakınsama için görev karmaşıklığını kademeli olarak arttırır.</w:t>
      </w:r>
    </w:p>
    <w:p>
      <w:pPr>
        <w:pStyle w:val="ListParagraph"/>
        <w:numPr>
          <w:ilvl w:val="0"/>
          <w:numId w:val="2"/>
        </w:numPr>
        <w:spacing w:after="80"/>
      </w:pPr>
      <w:r>
        <w:rPr>
          <w:rFonts w:ascii="Arial" w:cs="Arial" w:eastAsia="Arial" w:hAnsi="Arial"/>
          <w:color w:val="1A1A1A"/>
          <w:sz w:val="22"/>
          <w:szCs w:val="22"/>
        </w:rPr>
        <w:t xml:space="preserve">Bileşik puanlama: (Sharpe Oranı × 10) + (Calmar Oranı × 0,3) − aşırı ticaret cezası − negatif dönüş cezası.</w:t>
      </w:r>
    </w:p>
    <w:p>
      <w:pPr>
        <w:pStyle w:val="ListParagraph"/>
        <w:numPr>
          <w:ilvl w:val="0"/>
          <w:numId w:val="2"/>
        </w:numPr>
        <w:spacing w:after="80"/>
      </w:pPr>
      <w:r>
        <w:rPr>
          <w:rFonts w:ascii="Arial" w:cs="Arial" w:eastAsia="Arial" w:hAnsi="Arial"/>
          <w:color w:val="1A1A1A"/>
          <w:sz w:val="22"/>
          <w:szCs w:val="22"/>
        </w:rPr>
        <w:t xml:space="preserve">PilotShield Risk Katmanı: maksimum mutlak pozisyon = %75, maksimum kaldıraç = 1.5×, güven eşiği = %65.</w:t>
      </w:r>
    </w:p>
    <w:p>
      <w:pPr>
        <w:pStyle w:val="ListParagraph"/>
        <w:numPr>
          <w:ilvl w:val="0"/>
          <w:numId w:val="2"/>
        </w:numPr>
        <w:spacing w:after="80"/>
      </w:pPr>
      <w:r>
        <w:rPr>
          <w:rFonts w:ascii="Arial" w:cs="Arial" w:eastAsia="Arial" w:hAnsi="Arial"/>
          <w:color w:val="1A1A1A"/>
          <w:sz w:val="22"/>
          <w:szCs w:val="22"/>
        </w:rPr>
        <w:t xml:space="preserve">Öğrenilebilir Ensemble Ağırlıkları: Rejim öncülü ve performans EMA kombinasyonunun EMA tabanlı dinamik ajan ağırlıklandırması.</w:t>
      </w:r>
    </w:p>
    <w:p>
      <w:pPr>
        <w:pStyle w:val="ListParagraph"/>
        <w:numPr>
          <w:ilvl w:val="0"/>
          <w:numId w:val="2"/>
        </w:numPr>
        <w:spacing w:after="80"/>
      </w:pPr>
      <w:r>
        <w:rPr>
          <w:rFonts w:ascii="Arial" w:cs="Arial" w:eastAsia="Arial" w:hAnsi="Arial"/>
          <w:color w:val="1A1A1A"/>
          <w:sz w:val="22"/>
          <w:szCs w:val="22"/>
        </w:rPr>
        <w:t xml:space="preserve">Özerk iyileştirme döngüsü: drl_autopilot.py haftalık döngüsü ölçer, analiz eder, önerir ve retraining komutları üretir.</w:t>
      </w:r>
    </w:p>
    <w:p>
      <w:pPr>
        <w:spacing w:after="120"/>
      </w:pPr>
      <w:r>
        <w:t xml:space="preserve"/>
      </w:r>
    </w:p>
    <w:p>
      <w:pPr>
        <w:pStyle w:val="Heading2"/>
        <w:spacing w:before="240" w:after="80"/>
      </w:pPr>
      <w:r>
        <w:rPr>
          <w:rFonts w:ascii="Arial" w:cs="Arial" w:eastAsia="Arial" w:hAnsi="Arial"/>
          <w:b/>
          <w:bCs/>
          <w:color w:val="2E5FA3"/>
          <w:sz w:val="24"/>
          <w:szCs w:val="24"/>
        </w:rPr>
        <w:t xml:space="preserve">3.3 Mevcut Model Performansı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300"/>
        <w:gridCol w:w="1200"/>
        <w:gridCol w:w="1200"/>
        <w:gridCol w:w="1326"/>
      </w:tblGrid>
      <w:tr>
        <w:tc>
          <w:tcPr>
            <w:tcW w:type="dxa" w:w="2600"/>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Model ID</w:t>
            </w:r>
          </w:p>
        </w:tc>
        <w:tc>
          <w:tcPr>
            <w:tcW w:type="dxa" w:w="1400"/>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Tür</w:t>
            </w:r>
          </w:p>
        </w:tc>
        <w:tc>
          <w:tcPr>
            <w:tcW w:type="dxa" w:w="1300"/>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Dönüş</w:t>
            </w:r>
          </w:p>
        </w:tc>
        <w:tc>
          <w:tcPr>
            <w:tcW w:type="dxa" w:w="1200"/>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Maks DD</w:t>
            </w:r>
          </w:p>
        </w:tc>
        <w:tc>
          <w:tcPr>
            <w:tcW w:type="dxa" w:w="1200"/>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Sharpe</w:t>
            </w:r>
          </w:p>
        </w:tc>
        <w:tc>
          <w:tcPr>
            <w:tcW w:type="dxa" w:w="1326"/>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Skor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ppo_trend_20260304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Trend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+%574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%46,5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0.057</w:t>
            </w:r>
          </w:p>
        </w:tc>
        <w:tc>
          <w:tcPr>
            <w:tcW w:type="dxa" w:w="13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4.27</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ppo_trend_20260305</w:t>
            </w:r>
          </w:p>
        </w:tc>
        <w:tc>
          <w:tcPr>
            <w:tcW w:type="dxa" w:w="14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Trend</w:t>
            </w:r>
          </w:p>
        </w:tc>
        <w:tc>
          <w:tcPr>
            <w:tcW w:type="dxa" w:w="13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+%353</w:t>
            </w:r>
          </w:p>
        </w:tc>
        <w:tc>
          <w:tcPr>
            <w:tcW w:type="dxa" w:w="12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%37,7</w:t>
            </w:r>
          </w:p>
        </w:tc>
        <w:tc>
          <w:tcPr>
            <w:tcW w:type="dxa" w:w="12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0.053</w:t>
            </w:r>
          </w:p>
        </w:tc>
        <w:tc>
          <w:tcPr>
            <w:tcW w:type="dxa" w:w="1326"/>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3.33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ppo_momentum_20260306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Momentum</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+%300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%47,3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0.063</w:t>
            </w:r>
          </w:p>
        </w:tc>
        <w:tc>
          <w:tcPr>
            <w:tcW w:type="dxa" w:w="13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2.23</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ppo_momentum_20260303</w:t>
            </w:r>
          </w:p>
        </w:tc>
        <w:tc>
          <w:tcPr>
            <w:tcW w:type="dxa" w:w="14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Momentum</w:t>
            </w:r>
          </w:p>
        </w:tc>
        <w:tc>
          <w:tcPr>
            <w:tcW w:type="dxa" w:w="13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+%211</w:t>
            </w:r>
          </w:p>
        </w:tc>
        <w:tc>
          <w:tcPr>
            <w:tcW w:type="dxa" w:w="12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%41,1</w:t>
            </w:r>
          </w:p>
        </w:tc>
        <w:tc>
          <w:tcPr>
            <w:tcW w:type="dxa" w:w="12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0.055</w:t>
            </w:r>
          </w:p>
        </w:tc>
        <w:tc>
          <w:tcPr>
            <w:tcW w:type="dxa" w:w="1326"/>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1.80</w:t>
            </w:r>
          </w:p>
        </w:tc>
      </w:tr>
    </w:tbl>
    <w:p>
      <w:pPr>
        <w:spacing w:after="120"/>
      </w:pPr>
      <w:r>
        <w:t xml:space="preserve"/>
      </w:r>
    </w:p>
    <w:p>
      <w:pPr>
        <w:pStyle w:val="Heading2"/>
        <w:spacing w:before="240" w:after="80"/>
      </w:pPr>
      <w:r>
        <w:rPr>
          <w:rFonts w:ascii="Arial" w:cs="Arial" w:eastAsia="Arial" w:hAnsi="Arial"/>
          <w:b/>
          <w:bCs/>
          <w:color w:val="2E5FA3"/>
          <w:sz w:val="24"/>
          <w:szCs w:val="24"/>
        </w:rPr>
        <w:t xml:space="preserve">3.4 Ürün Yol Haritası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326"/>
        <w:gridCol w:w="1200"/>
      </w:tblGrid>
      <w:tr>
        <w:tc>
          <w:tcPr>
            <w:tcW w:type="dxa" w:w="1500"/>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Çeyrek</w:t>
            </w:r>
          </w:p>
        </w:tc>
        <w:tc>
          <w:tcPr>
            <w:tcW w:type="dxa" w:w="5326"/>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Dönüm Noktası</w:t>
            </w:r>
          </w:p>
        </w:tc>
        <w:tc>
          <w:tcPr>
            <w:tcW w:type="dxa" w:w="1200"/>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Öncelik</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Q2 2026</w:t>
            </w:r>
          </w:p>
        </w:tc>
        <w:tc>
          <w:tcPr>
            <w:tcW w:type="dxa" w:w="53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Bulut dağıtımı (AWS/Azure), PostgreSQL göçü, Ücretli Beta Başlatma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Kritik</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Q3 2026</w:t>
            </w:r>
          </w:p>
        </w:tc>
        <w:tc>
          <w:tcPr>
            <w:tcW w:type="dxa" w:w="5326"/>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Next.js Frontend Tamamlanması ve Streamlit Kullanımdan Kaldırma</w:t>
            </w:r>
          </w:p>
        </w:tc>
        <w:tc>
          <w:tcPr>
            <w:tcW w:type="dxa" w:w="12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Yüksek</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Q3 2026</w:t>
            </w:r>
          </w:p>
        </w:tc>
        <w:tc>
          <w:tcPr>
            <w:tcW w:type="dxa" w:w="53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Mobil Uygulama (React Native) Beta Sürümü</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Orta</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Q4 2026</w:t>
            </w:r>
          </w:p>
        </w:tc>
        <w:tc>
          <w:tcPr>
            <w:tcW w:type="dxa" w:w="5326"/>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API Pazarı ve B2B Onboarding Portalı</w:t>
            </w:r>
          </w:p>
        </w:tc>
        <w:tc>
          <w:tcPr>
            <w:tcW w:type="dxa" w:w="12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Yüksek</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Q1 2027</w:t>
            </w:r>
          </w:p>
        </w:tc>
        <w:tc>
          <w:tcPr>
            <w:tcW w:type="dxa" w:w="53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DRL Model Hedefleri: MaxDD &lt;%20, Sharpe &gt;0.5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Kritik</w:t>
            </w:r>
          </w:p>
        </w:tc>
      </w:tr>
    </w:tbl>
    <w:p>
      <w:pPr>
        <w:spacing w:after="120"/>
      </w:pPr>
      <w:r>
        <w:t xml:space="preserve"/>
      </w:r>
    </w:p>
    <w:p>
      <w:r>
        <w:br w:type="page"/>
      </w:r>
    </w:p>
    <w:p>
      <w:pPr>
        <w:pStyle w:val="Heading1"/>
        <w:pBdr>
          <w:bottom w:val="single" w:color="1B3A6B" w:sz="8" w:space="4"/>
        </w:pBdr>
        <w:spacing w:before="360" w:after="120"/>
      </w:pPr>
      <w:r>
        <w:rPr>
          <w:rFonts w:ascii="Arial" w:cs="Arial" w:eastAsia="Arial" w:hAnsi="Arial"/>
          <w:b/>
          <w:bCs/>
          <w:color w:val="1B3A6B"/>
          <w:sz w:val="28"/>
          <w:szCs w:val="28"/>
        </w:rPr>
        <w:t xml:space="preserve">4. İşletme Modeli &amp; Mali Projeksiyonlar</w:t>
      </w:r>
    </w:p>
    <w:p>
      <w:pPr>
        <w:pStyle w:val="Heading2"/>
        <w:spacing w:before="240" w:after="80"/>
      </w:pPr>
      <w:r>
        <w:rPr>
          <w:rFonts w:ascii="Arial" w:cs="Arial" w:eastAsia="Arial" w:hAnsi="Arial"/>
          <w:b/>
          <w:bCs/>
          <w:color w:val="2E5FA3"/>
          <w:sz w:val="24"/>
          <w:szCs w:val="24"/>
        </w:rPr>
        <w:t xml:space="preserve">4.1 Gelir Modeli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400"/>
        <w:gridCol w:w="2026"/>
      </w:tblGrid>
      <w:tr>
        <w:tc>
          <w:tcPr>
            <w:tcW w:type="dxa" w:w="1800"/>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Katman</w:t>
            </w:r>
          </w:p>
        </w:tc>
        <w:tc>
          <w:tcPr>
            <w:tcW w:type="dxa" w:w="1400"/>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Fiyat</w:t>
            </w:r>
          </w:p>
        </w:tc>
        <w:tc>
          <w:tcPr>
            <w:tcW w:type="dxa" w:w="2400"/>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Hedef Kitle</w:t>
            </w:r>
          </w:p>
        </w:tc>
        <w:tc>
          <w:tcPr>
            <w:tcW w:type="dxa" w:w="2026"/>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Tahmini TAM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Ücretsiz</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€0/ay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Bireysel kullanıcılar, öğrenciler</w:t>
            </w:r>
          </w:p>
        </w:tc>
        <w:tc>
          <w:tcPr>
            <w:tcW w:type="dxa" w:w="2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100K+ kullanıcı/yıl</w:t>
            </w:r>
          </w:p>
        </w:tc>
      </w:tr>
      <w:tr>
        <w:tc>
          <w:tcPr>
            <w:tcW w:type="dxa" w:w="18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Pro</w:t>
            </w:r>
          </w:p>
        </w:tc>
        <w:tc>
          <w:tcPr>
            <w:tcW w:type="dxa" w:w="14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€29/ay</w:t>
            </w:r>
          </w:p>
        </w:tc>
        <w:tc>
          <w:tcPr>
            <w:tcW w:type="dxa" w:w="24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Aktif perakende yatırımcıları</w:t>
            </w:r>
          </w:p>
        </w:tc>
        <w:tc>
          <w:tcPr>
            <w:tcW w:type="dxa" w:w="2026"/>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€3.5M/yıl 10K kullanıcıda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Premium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€99/ay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Profesyonel tüccarlar, küçük fonlar</w:t>
            </w:r>
          </w:p>
        </w:tc>
        <w:tc>
          <w:tcPr>
            <w:tcW w:type="dxa" w:w="2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€1.2M/yıl 1K kullanıcıda</w:t>
            </w:r>
          </w:p>
        </w:tc>
      </w:tr>
      <w:tr>
        <w:tc>
          <w:tcPr>
            <w:tcW w:type="dxa" w:w="18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API</w:t>
            </w:r>
          </w:p>
        </w:tc>
        <w:tc>
          <w:tcPr>
            <w:tcW w:type="dxa" w:w="14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€49/10K sorgu</w:t>
            </w:r>
          </w:p>
        </w:tc>
        <w:tc>
          <w:tcPr>
            <w:tcW w:type="dxa" w:w="24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Fintech geliştiricileri, veri toplayıcılar</w:t>
            </w:r>
          </w:p>
        </w:tc>
        <w:tc>
          <w:tcPr>
            <w:tcW w:type="dxa" w:w="2026"/>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€2M/yıl 100 geliştiricide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White-Label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€5K–€20K/ay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Kurumsal müşteriler</w:t>
            </w:r>
          </w:p>
        </w:tc>
        <w:tc>
          <w:tcPr>
            <w:tcW w:type="dxa" w:w="2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€10M+/yıl 50–100 müşteride</w:t>
            </w:r>
          </w:p>
        </w:tc>
      </w:tr>
    </w:tbl>
    <w:p>
      <w:pPr>
        <w:spacing w:after="120"/>
      </w:pPr>
      <w:r>
        <w:t xml:space="preserve"/>
      </w:r>
    </w:p>
    <w:p>
      <w:pPr>
        <w:pStyle w:val="Heading2"/>
        <w:spacing w:before="240" w:after="80"/>
      </w:pPr>
      <w:r>
        <w:rPr>
          <w:rFonts w:ascii="Arial" w:cs="Arial" w:eastAsia="Arial" w:hAnsi="Arial"/>
          <w:b/>
          <w:bCs/>
          <w:color w:val="2E5FA3"/>
          <w:sz w:val="24"/>
          <w:szCs w:val="24"/>
        </w:rPr>
        <w:t xml:space="preserve">4.2 3-Yıl Gelir Projeksiyonu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Segmen</w:t>
            </w:r>
          </w:p>
        </w:tc>
        <w:tc>
          <w:tcPr>
            <w:tcW w:type="dxa" w:w="2200"/>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Yıl 1 (€)</w:t>
            </w:r>
          </w:p>
        </w:tc>
        <w:tc>
          <w:tcPr>
            <w:tcW w:type="dxa" w:w="2200"/>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Yıl 2 (€)</w:t>
            </w:r>
          </w:p>
        </w:tc>
        <w:tc>
          <w:tcPr>
            <w:tcW w:type="dxa" w:w="2426"/>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Yıl 3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Freemium (Pro)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25.000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120.000</w:t>
            </w:r>
          </w:p>
        </w:tc>
        <w:tc>
          <w:tcPr>
            <w:tcW w:type="dxa" w:w="24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450.000</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Premium</w:t>
            </w:r>
          </w:p>
        </w:tc>
        <w:tc>
          <w:tcPr>
            <w:tcW w:type="dxa" w:w="22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30.000</w:t>
            </w:r>
          </w:p>
        </w:tc>
        <w:tc>
          <w:tcPr>
            <w:tcW w:type="dxa" w:w="22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140.000</w:t>
            </w:r>
          </w:p>
        </w:tc>
        <w:tc>
          <w:tcPr>
            <w:tcW w:type="dxa" w:w="2426"/>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480.000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API Geliştirici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20.000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60.000</w:t>
            </w:r>
          </w:p>
        </w:tc>
        <w:tc>
          <w:tcPr>
            <w:tcW w:type="dxa" w:w="24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180.000</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White-Label (2 Müşteri)</w:t>
            </w:r>
          </w:p>
        </w:tc>
        <w:tc>
          <w:tcPr>
            <w:tcW w:type="dxa" w:w="22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10.000</w:t>
            </w:r>
          </w:p>
        </w:tc>
        <w:tc>
          <w:tcPr>
            <w:tcW w:type="dxa" w:w="22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20.000</w:t>
            </w:r>
          </w:p>
        </w:tc>
        <w:tc>
          <w:tcPr>
            <w:tcW w:type="dxa" w:w="2426"/>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90.000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TOPLAM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85.000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340.000</w:t>
            </w:r>
          </w:p>
        </w:tc>
        <w:tc>
          <w:tcPr>
            <w:tcW w:type="dxa" w:w="24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1.200.000</w:t>
            </w:r>
          </w:p>
        </w:tc>
      </w:tr>
    </w:tbl>
    <w:p>
      <w:pPr>
        <w:spacing w:after="120"/>
      </w:pPr>
      <w:r>
        <w:t xml:space="preserve"/>
      </w:r>
    </w:p>
    <w:p>
      <w:pPr>
        <w:pStyle w:val="Heading2"/>
        <w:spacing w:before="240" w:after="80"/>
      </w:pPr>
      <w:r>
        <w:rPr>
          <w:rFonts w:ascii="Arial" w:cs="Arial" w:eastAsia="Arial" w:hAnsi="Arial"/>
          <w:b/>
          <w:bCs/>
          <w:color w:val="2E5FA3"/>
          <w:sz w:val="24"/>
          <w:szCs w:val="24"/>
        </w:rPr>
        <w:t xml:space="preserve">4.3 Fonların Kullanımı (€500.000)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300"/>
        <w:gridCol w:w="2926"/>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Kategori</w:t>
            </w:r>
          </w:p>
        </w:tc>
        <w:tc>
          <w:tcPr>
            <w:tcW w:type="dxa" w:w="1600"/>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Tutar</w:t>
            </w:r>
          </w:p>
        </w:tc>
        <w:tc>
          <w:tcPr>
            <w:tcW w:type="dxa" w:w="1300"/>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Yüzde</w:t>
            </w:r>
          </w:p>
        </w:tc>
        <w:tc>
          <w:tcPr>
            <w:tcW w:type="dxa" w:w="2926"/>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Amaç</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İnsan Kaynakları Masrafları</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€250.000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%50</w:t>
            </w:r>
          </w:p>
        </w:tc>
        <w:tc>
          <w:tcPr>
            <w:tcW w:type="dxa" w:w="29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Kıdemli Mühendis, Ürün Müdürü, Pazarlama Müdürü</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Altyapı/Bulut</w:t>
            </w:r>
          </w:p>
        </w:tc>
        <w:tc>
          <w:tcPr>
            <w:tcW w:type="dxa" w:w="16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€100.000</w:t>
            </w:r>
          </w:p>
        </w:tc>
        <w:tc>
          <w:tcPr>
            <w:tcW w:type="dxa" w:w="13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%20</w:t>
            </w:r>
          </w:p>
        </w:tc>
        <w:tc>
          <w:tcPr>
            <w:tcW w:type="dxa" w:w="2926"/>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AWS, Veritabanı, İzleme, Güvenlik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Ürün Geliştirme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€80.000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%16</w:t>
            </w:r>
          </w:p>
        </w:tc>
        <w:tc>
          <w:tcPr>
            <w:tcW w:type="dxa" w:w="29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Next.js Frontend, Mobil Uygulama, Aracı İntegrasyonu</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Pazarlama/GTM</w:t>
            </w:r>
          </w:p>
        </w:tc>
        <w:tc>
          <w:tcPr>
            <w:tcW w:type="dxa" w:w="16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€50.000</w:t>
            </w:r>
          </w:p>
        </w:tc>
        <w:tc>
          <w:tcPr>
            <w:tcW w:type="dxa" w:w="13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%10</w:t>
            </w:r>
          </w:p>
        </w:tc>
        <w:tc>
          <w:tcPr>
            <w:tcW w:type="dxa" w:w="2926"/>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İçerik Pazarlaması, Konferanslar, Ücretli Kazanım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Yasal/Ofis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€20.000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%4</w:t>
            </w:r>
          </w:p>
        </w:tc>
        <w:tc>
          <w:tcPr>
            <w:tcW w:type="dxa" w:w="29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GmbH Kurulması, IP Koruması, Ofis Alanı</w:t>
            </w:r>
          </w:p>
        </w:tc>
      </w:tr>
    </w:tbl>
    <w:p>
      <w:pPr>
        <w:spacing w:after="120"/>
      </w:pPr>
      <w:r>
        <w:t xml:space="preserve"/>
      </w:r>
    </w:p>
    <w:p>
      <w:pPr>
        <w:spacing w:before="300" w:after="300"/>
        <w:jc w:val="center"/>
      </w:pPr>
      <w:r>
        <w:rPr>
          <w:rFonts w:ascii="Arial" w:cs="Arial" w:eastAsia="Arial" w:hAnsi="Arial"/>
          <w:b/>
          <w:bCs/>
          <w:i/>
          <w:iCs/>
          <w:color w:val="5A6A82"/>
          <w:sz w:val="22"/>
          <w:szCs w:val="22"/>
        </w:rPr>
        <w:t xml:space="preserve">— İş Planının Sonu —</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6" w:space="4"/>
      </w:pBdr>
      <w:jc w:val="center"/>
    </w:pPr>
    <w:r>
      <w:rPr>
        <w:rFonts w:ascii="Arial" w:cs="Arial" w:eastAsia="Arial" w:hAnsi="Arial"/>
        <w:color w:val="5A6A82"/>
        <w:sz w:val="18"/>
        <w:szCs w:val="18"/>
      </w:rPr>
      <w:t xml:space="preserve">FinPilot İş Planı  |  Sayfa </w:t>
    </w:r>
    <w:r>
      <w:rPr>
        <w:rFonts w:ascii="Arial" w:cs="Arial" w:eastAsia="Arial" w:hAnsi="Arial"/>
        <w:color w:val="5A6A82"/>
        <w:sz w:val="18"/>
        <w:szCs w:val="18"/>
      </w:rPr>
      <w:fldChar w:fldCharType="begin"/>
      <w:instrText xml:space="preserve">PAGE</w:instrText>
      <w:fldChar w:fldCharType="separate"/>
      <w:fldChar w:fldCharType="end"/>
    </w:r>
    <w:r>
      <w:rPr>
        <w:rFonts w:ascii="Arial" w:cs="Arial" w:eastAsia="Arial" w:hAnsi="Arial"/>
        <w:color w:val="5A6A82"/>
        <w:sz w:val="18"/>
        <w:szCs w:val="18"/>
      </w:rPr>
      <w:t xml:space="preserve"> / </w:t>
    </w:r>
    <w:r>
      <w:rPr>
        <w:rFonts w:ascii="Arial" w:cs="Arial" w:eastAsia="Arial" w:hAnsi="Arial"/>
        <w:color w:val="5A6A82"/>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4"/>
      </w:pBdr>
      <w:tabs>
        <w:tab w:val="right" w:pos="9026"/>
      </w:tabs>
    </w:pPr>
    <w:r>
      <w:rPr>
        <w:rFonts w:ascii="Arial" w:cs="Arial" w:eastAsia="Arial" w:hAnsi="Arial"/>
        <w:color w:val="5A6A82"/>
        <w:sz w:val="18"/>
        <w:szCs w:val="18"/>
      </w:rPr>
      <w:t xml:space="preserve">FinPilot  |  İş Planı  |  Gizli</w:t>
    </w:r>
    <w:r>
      <w:rPr>
        <w:rFonts w:ascii="Arial" w:cs="Arial" w:eastAsia="Arial" w:hAnsi="Arial"/>
        <w:color w:val="5A6A82"/>
        <w:sz w:val="18"/>
        <w:szCs w:val="18"/>
      </w:rPr>
      <w:t xml:space="preserv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3A6B"/>
      <w:sz w:val="28"/>
      <w:szCs w:val="28"/>
    </w:rPr>
  </w:style>
  <w:style w:type="paragraph" w:styleId="Heading2">
    <w:name w:val="Heading 2"/>
    <w:basedOn w:val="Normal"/>
    <w:next w:val="Normal"/>
    <w:qFormat/>
    <w:pPr>
      <w:spacing w:before="240" w:after="80"/>
      <w:outlineLvl w:val="1"/>
    </w:pPr>
    <w:rPr>
      <w:rFonts w:ascii="Arial" w:cs="Arial" w:eastAsia="Arial" w:hAnsi="Arial"/>
      <w:b/>
      <w:bCs/>
      <w:color w:val="2E5FA3"/>
      <w:sz w:val="24"/>
      <w:szCs w:val="24"/>
    </w:rPr>
  </w:style>
  <w:style w:type="paragraph" w:styleId="Heading3">
    <w:name w:val="Heading 3"/>
    <w:basedOn w:val="Normal"/>
    <w:next w:val="Normal"/>
    <w:qFormat/>
    <w:pPr>
      <w:spacing w:before="180" w:after="60"/>
      <w:outlineLvl w:val="2"/>
    </w:pPr>
    <w:rPr>
      <w:rFonts w:ascii="Arial" w:cs="Arial" w:eastAsia="Arial" w:hAnsi="Arial"/>
      <w:b/>
      <w:bCs/>
      <w:color w:val="5A6A8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2026-03-30T16:28:20.012Z</dcterms:created>
  <dcterms:modified xsi:type="dcterms:W3CDTF">2026-03-30T16:28:20.013Z</dcterms:modified>
</cp:coreProperties>
</file>

<file path=docProps/custom.xml><?xml version="1.0" encoding="utf-8"?>
<Properties xmlns="http://schemas.openxmlformats.org/officeDocument/2006/custom-properties" xmlns:vt="http://schemas.openxmlformats.org/officeDocument/2006/docPropsVTypes"/>
</file>