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6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FinPilot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FA3"/>
          <w:sz w:val="34"/>
          <w:szCs w:val="34"/>
        </w:rPr>
        <w:t xml:space="preserve">Market Analysis Report</w:t>
      </w:r>
    </w:p>
    <w:p>
      <w:pPr>
        <w:pBdr>
          <w:bottom w:val="single" w:color="C8A415" w:sz="12" w:space="6"/>
        </w:pBdr>
        <w:spacing w:before="0" w:after="300"/>
        <w:jc w:val="center"/>
      </w:pPr>
      <w:r>
        <w:rPr>
          <w:rFonts w:ascii="Arial" w:cs="Arial" w:eastAsia="Arial" w:hAnsi="Arial"/>
          <w:b/>
          <w:bCs/>
          <w:color w:val="5A6A82"/>
          <w:sz w:val="30"/>
          <w:szCs w:val="30"/>
        </w:rPr>
        <w:t xml:space="preserve">Strategic Market Overview  2026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Market Analysis (Grant Application)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1.0  —  March 2026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Coverage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Global Algorithmic Trading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AI in Financial Services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European Retail Investment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• Austrian Tech Ecosystem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C8A415" w:sz="4" w:space="6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5A6A82"/>
          <w:sz w:val="18"/>
          <w:szCs w:val="18"/>
        </w:rPr>
        <w:t xml:space="preserve">CONFIDENTIAL  —  For grant evaluation and strategic planning purposes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global algorithmic investment and artificial intelligence in finance market represents a multi-billion dollar opportunity. FinPilot is positioned in a high-growth segment where democratization of professional-grade tools is reshaping retail investment participation. This report analyzes global market conditions, regional dynamics, competitive positioning, and entry strategies for sustainable revenue growth.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Market Opportunity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Global Algo Trading Market (2028)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$31.4 Billion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CAGR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11.6%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AI in Finance Market (2030)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$22.6 Billion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CAGR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23.4%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EU Retail Investors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58 Million+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Algo Tool Penetration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&lt;2%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Austrian Digital-First Investors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1.1 Million (45%)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A6A82"/>
                <w:sz w:val="20"/>
                <w:szCs w:val="20"/>
              </w:rPr>
              <w:t xml:space="preserve">Target Market Entry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6"/>
                <w:szCs w:val="26"/>
              </w:rPr>
              <w:t xml:space="preserve">Q2 2026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Global Market Size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Algorithmic Trading Market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global algorithmic trading market is projected to reach $31.4 billion by 2028, expanding at a compound annual growth rate (CAGR) of 11.6%. This growth is driven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Increased retail investor participation: retail now accounts for 25-30% of US equity trading volumes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reduction in computing infrastructure enabling sophisticated analyses at lower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Regulatory tailwinds in Europe (MiFID II) accelerating transparency and technological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capital deploying algorithmic strategies across asset classes (equities, crypto, forex)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AI in Financial Services Market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AI-driven financial services represent the fastest-growing segment, with the market projected to reach $22.6 billion by 2030 at a 23.4% CAGR. Key applications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Predictive analytics and risk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portfolio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Sentiment analysis and news mining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LLM-based financial 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Fraud detection and compliance automation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FinPilot's combination of DRL-based signal generation and LLM synthesis positions the platform in a high-growth subsegment with limited competition in the retail/SMB tier.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European Market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Retail Investor 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2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Retail 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Digital-First 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 Tool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Europe (Total)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58+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Germany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40%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Austria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45%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0.8%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10.5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8.8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32%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3.2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52%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Poland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5.6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33%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0.5%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EU Regulatory Landscape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MiFID II and MiFID III regulations create both barriers and opportunities: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Barriers: Strict position limits, short-selling restrictions, and transaction costs inhibit retail algo adoption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Opportunities: Regulatory clarity and investor protection frameworks increase institutional migration to compliant retail platforms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Tailwind: Open finance directives (PSD2, FAPI) enable third-party data aggregation and API access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3.3 Competitive Positioning in Europe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Currently, algorithmic trading tools in Europe are dominated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High-cost institutional solutions: Bloomberg Terminal (€25K/year), FactSet (€30K/year)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platforms: QuantConnect (€200/month), Zipline (open-source)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Brokers with limited tools: Interactive Brokers, Degiro, Saxo Bank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mainstream European player offers the FinPilot combination: DRL agents + LLM synthesis + consumer pricing (&lt;€100/month) + institutional-grade risk management.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Austrian Market Deep Dive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Austrian Retail Investment Market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02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Rate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Retail 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+4.2% YoY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2.7 Million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Digital-First Investors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1.1 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+8.5% YoY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1.4 Million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Avg. Crypto Holdings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12% of portfolio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+15% YoY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18% of portfolio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ETF/Index Fund Adoption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+6% YoY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41%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Traders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+7.3% YoY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215,000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Austrian Startup Ecosystem Strengths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Strong fintech hubs: Vienna, Graz, Linz host 200+ fintech companies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Government support: aws Gründungsfonds, FFG funding, EIC programs with €500K+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Tech talent: Austria hosts 15,000+ software engineers with expertise in finance/ML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Strategic location: Bridge between German market and Eastern Europe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Niederösterreich Regional Market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Gänserndorf provides access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Lower Vienna tech cluster with 50+ active startups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Proximity to Vienna financial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 to Austrian venture capital (Speedinvest, Brainforce, VCs with €20B+ AUM)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Regional business incubators and innovation centers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Customer Segmentation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Addressable Customer Segments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02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(EU)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ARPU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Retail Investors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500K-1M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€29-99/mo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portfolio optimization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Small Funds (&lt;€100M AUM)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2,500-5K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€5K-20K/mo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Algo signal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Fintech Developers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5K-10K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€49/mo API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 integration, strategies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Family Offices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1K-2K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€50K+/mo white-label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Custom algorithm platforms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Financial Advisors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10K-15K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€99/mo pro</w:t>
            </w:r>
          </w:p>
        </w:tc>
        <w:tc>
          <w:tcPr>
            <w:tcW w:type="dxa" w:w="20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portfolio recommendations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Value Proposition by Segment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Retail Investors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 savings: 95% cheaper than Bloomberg Terminal (€29 vs €2,083/month)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Simplicity: No coding required; dashboard-based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Accessibility: Mobile app for on-the-go portfolio monitoring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Small Funds &amp; Asset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Institutional features: Position sizing, leverage controls, risk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Customization: White-label APIs for branded 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Integration: Alpaca, Interactive Brokers, Saxo Bank connectivity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Fintech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API-first architecture: 99.9% uptime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 integration: Multi-provider LLM router for resilience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Scalability: Handles 1,000+ symbol analysis in real-time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Competitive Analysis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Competitive Landscape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400"/>
        <w:gridCol w:w="1400"/>
        <w:gridCol w:w="122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DRL Agents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Controls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Bloomberg Terminal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€25K/yr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Institutional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QuantConnect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Basic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€15/mo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Technical Analysis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Koyfin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€300/mo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Limited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Basic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Analyst Tools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Finviz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€40/mo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Screening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FinPilot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€29-99/mo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(19 agents)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Yes (Multi-LLM)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PilotShield</w:t>
            </w:r>
          </w:p>
        </w:tc>
        <w:tc>
          <w:tcPr>
            <w:tcW w:type="dxa" w:w="12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Retail/SMB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6.2 Barriers to Imitation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Proprietary DRL models trained on 5+ years of market data with curriculum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Multi-LLM failover architecture (Groq, Claude, Gemini) requiring enterprise partnerships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PilotShield risk framework with Optuna-optimized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Production infrastructure (Docker, CI/CD, Prometheus monitoring) with 6+ months of engineering debt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Market Entry Strategy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Geographic Phased Rollout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Phase 1: DACH Beachhead (Q2-Q4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in Austria (home market + government support)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 to Germany (12M retail investors, 40% digital-first)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Switzerland (high-value customer segment, regulatory clarity)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5,000 active users, €85K ARR by end of Q4 2026.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Phase 2: EU Expansion (2027)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 to Benelux (Netherlands 52% digital-first, Belgium 42%)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in Nordic region (Sweden, Denmark, Norway)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Establish Spain/Italy operations (Mediterranean growth markets)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30K users, €340K ARR by end of 2027.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Phase 3: Global Scale (2028+)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 market entry (300M+ retail investors, minimal algo adoption)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Asian expansion (Singapore, HK, South Korea)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Target: 100K+ users, €1.2M+ ARR by end of 2028.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Customer Acquisition Channels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82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Acquisition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Potential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Content Marketing (SEO/Blog)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€2-5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1.2-1.8%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Paid Search (Google Ads)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€8-15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2.5-3.5%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Influencer/Crypto Community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3-4%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Financial Conference Sponsorship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€20-30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5-8%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Direct B2B 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€500-1K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25-35%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volume, high ACV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Strategic Partnerships (Brokers)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€0 (revenue share)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Varies</w:t>
            </w:r>
          </w:p>
        </w:tc>
        <w:tc>
          <w:tcPr>
            <w:tcW w:type="dxa" w:w="18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 strategic value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8. Barriers to Entry &amp; Competitive Moats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8.1 Technical Barriers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capital requirements for infrastructure: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ML/DRL expertise: Shortage of engineers with both DRL + production systems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pipeline: Requiring 5+ years of historical market data + real-time feeds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Multi-provider LLM architecture: Requiring agreements with Groq, Anthropic,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Risk management: Designing and validating automated trading risk controls takes 12+ months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8.2 Regulatory Barriers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MiFID II compliance: Requires legal entity registration, compliance officer, audit trails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Market data licensing: Real-time data requires exchange agreements (NASDAQ, NYSE,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Investment advice regulations: Varies by EU country; FinPilot's non-advisory model avoids this</w:t>
      </w:r>
    </w:p>
    <w:p>
      <w:pPr>
        <w:spacing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8.3 Moat Strategies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Data &amp; Model Moat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Proprietary DRL agent library improves with time and user data, creating compounding model quality advantage.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Network Effects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Freemium user base (100K+) provides data for improving paid tiers and institutional products.</w:t>
      </w:r>
    </w:p>
    <w:p>
      <w:pPr>
        <w:spacing w:after="120"/>
      </w:pPr>
      <w:r>
        <w:t xml:space="preserve"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5A6A82"/>
          <w:sz w:val="22"/>
          <w:szCs w:val="22"/>
        </w:rPr>
        <w:t xml:space="preserve">Switching Costs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with integrated watchlists, saved analyses, and custom alerts face friction switching to competitors.</w:t>
      </w:r>
    </w:p>
    <w:p>
      <w:pPr>
        <w:spacing w:after="120"/>
      </w:pPr>
      <w:r>
        <w:t xml:space="preserve"/>
      </w:r>
    </w:p>
    <w:p>
      <w:pPr>
        <w:spacing w:before="300" w:after="300"/>
        <w:jc w:val="center"/>
      </w:pPr>
      <w:r>
        <w:rPr>
          <w:rFonts w:ascii="Arial" w:cs="Arial" w:eastAsia="Arial" w:hAnsi="Arial"/>
          <w:b/>
          <w:bCs/>
          <w:i/>
          <w:iCs/>
          <w:color w:val="5A6A82"/>
          <w:sz w:val="22"/>
          <w:szCs w:val="22"/>
        </w:rPr>
        <w:t xml:space="preserve">— End of Market Analysis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6" w:space="4"/>
      </w:pBdr>
      <w:jc w:val="center"/>
    </w:pPr>
    <w:r>
      <w:rPr>
        <w:rFonts w:ascii="Arial" w:cs="Arial" w:eastAsia="Arial" w:hAnsi="Arial"/>
        <w:color w:val="5A6A82"/>
        <w:sz w:val="18"/>
        <w:szCs w:val="18"/>
      </w:rPr>
      <w:t xml:space="preserve">FinPilot Market Analysis  |  Page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2"/>
        <w:sz w:val="18"/>
        <w:szCs w:val="18"/>
      </w:rPr>
      <w:t xml:space="preserve"> of </w:t>
    </w:r>
    <w:r>
      <w:rPr>
        <w:rFonts w:ascii="Arial" w:cs="Arial" w:eastAsia="Arial" w:hAnsi="Arial"/>
        <w:color w:val="5A6A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4"/>
      </w:pBdr>
      <w:tabs>
        <w:tab w:val="right" w:pos="9026"/>
      </w:tabs>
    </w:pPr>
    <w:r>
      <w:rPr>
        <w:rFonts w:ascii="Arial" w:cs="Arial" w:eastAsia="Arial" w:hAnsi="Arial"/>
        <w:color w:val="5A6A82"/>
        <w:sz w:val="18"/>
        <w:szCs w:val="18"/>
      </w:rPr>
      <w:t xml:space="preserve">FinPilot  |  Market Analysis  |  Confidential</w:t>
    </w:r>
    <w:r>
      <w:rPr>
        <w:rFonts w:ascii="Arial" w:cs="Arial" w:eastAsia="Arial" w:hAnsi="Arial"/>
        <w:color w:val="5A6A82"/>
        <w:sz w:val="18"/>
        <w:szCs w:val="18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5A6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2026-03-30T16:29:16.593Z</dcterms:created>
  <dcterms:modified xsi:type="dcterms:W3CDTF">2026-03-30T16:29:16.594Z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