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80"/>
          <w:szCs w:val="80"/>
        </w:rPr>
        <w:t xml:space="preserve">FinPilot</w:t>
      </w:r>
    </w:p>
    <w:p>
      <w:pPr>
        <w:spacing w:before="0" w:after="60"/>
        <w:jc w:val="center"/>
      </w:pPr>
      <w:r>
        <w:rPr>
          <w:rFonts w:ascii="Arial" w:cs="Arial" w:eastAsia="Arial" w:hAnsi="Arial"/>
          <w:color w:val="2E5FA3"/>
          <w:sz w:val="34"/>
          <w:szCs w:val="34"/>
        </w:rPr>
        <w:t xml:space="preserve">Marktanalysebericht</w:t>
      </w:r>
    </w:p>
    <w:p>
      <w:pPr>
        <w:pBdr>
          <w:bottom w:val="single" w:color="C8A415" w:sz="12" w:space="6"/>
        </w:pBdr>
        <w:spacing w:before="0" w:after="300"/>
        <w:jc w:val="center"/>
      </w:pPr>
      <w:r>
        <w:rPr>
          <w:rFonts w:ascii="Arial" w:cs="Arial" w:eastAsia="Arial" w:hAnsi="Arial"/>
          <w:b/>
          <w:bCs/>
          <w:color w:val="5A6A82"/>
          <w:sz w:val="30"/>
          <w:szCs w:val="30"/>
        </w:rPr>
        <w:t xml:space="preserve">Strategischer Marktüberblick  2026</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4F7" w:val="clear"/>
            <w:tcMar>
              <w:top w:type="dxa" w:w="300"/>
              <w:left w:type="dxa" w:w="400"/>
              <w:bottom w:type="dxa" w:w="300"/>
              <w:right w:type="dxa" w:w="400"/>
            </w:tcMar>
          </w:tcPr>
          <w:p>
            <w:r>
              <w:rPr>
                <w:rFonts w:ascii="Arial" w:cs="Arial" w:eastAsia="Arial" w:hAnsi="Arial"/>
                <w:b/>
                <w:bCs/>
                <w:color w:val="5A6A82"/>
                <w:sz w:val="20"/>
                <w:szCs w:val="20"/>
              </w:rPr>
              <w:t xml:space="preserve">Dokumenttyp</w:t>
            </w:r>
          </w:p>
          <w:p>
            <w:r>
              <w:rPr>
                <w:rFonts w:ascii="Arial" w:cs="Arial" w:eastAsia="Arial" w:hAnsi="Arial"/>
                <w:color w:val="1B3A6B"/>
                <w:sz w:val="22"/>
                <w:szCs w:val="22"/>
              </w:rPr>
              <w:t xml:space="preserve">Marktanalyse (Förderantrag)</w:t>
            </w:r>
          </w:p>
          <w:p>
            <w:pPr>
              <w:spacing w:after="120"/>
            </w:pPr>
            <w:r>
              <w:t xml:space="preserve"/>
            </w:r>
          </w:p>
          <w:p>
            <w:r>
              <w:rPr>
                <w:rFonts w:ascii="Arial" w:cs="Arial" w:eastAsia="Arial" w:hAnsi="Arial"/>
                <w:b/>
                <w:bCs/>
                <w:color w:val="5A6A82"/>
                <w:sz w:val="20"/>
                <w:szCs w:val="20"/>
              </w:rPr>
              <w:t xml:space="preserve">Version</w:t>
            </w:r>
          </w:p>
          <w:p>
            <w:r>
              <w:rPr>
                <w:rFonts w:ascii="Arial" w:cs="Arial" w:eastAsia="Arial" w:hAnsi="Arial"/>
                <w:color w:val="1B3A6B"/>
                <w:sz w:val="22"/>
                <w:szCs w:val="22"/>
              </w:rPr>
              <w:t xml:space="preserve">1.0  —  März 2026</w:t>
            </w:r>
          </w:p>
        </w:tc>
        <w:tc>
          <w:tcPr>
            <w:tcW w:type="dxa" w:w="4513"/>
            <w:tcBorders>
              <w:top w:val="none" w:color="FFFFFF" w:sz="0"/>
              <w:left w:val="none" w:color="FFFFFF" w:sz="0"/>
              <w:bottom w:val="none" w:color="FFFFFF" w:sz="0"/>
              <w:right w:val="none" w:color="FFFFFF" w:sz="0"/>
            </w:tcBorders>
            <w:shd w:fill="F4F6FA" w:val="clear"/>
            <w:tcMar>
              <w:top w:type="dxa" w:w="300"/>
              <w:left w:type="dxa" w:w="400"/>
              <w:bottom w:type="dxa" w:w="300"/>
              <w:right w:type="dxa" w:w="400"/>
            </w:tcMar>
          </w:tcPr>
          <w:p>
            <w:r>
              <w:rPr>
                <w:rFonts w:ascii="Arial" w:cs="Arial" w:eastAsia="Arial" w:hAnsi="Arial"/>
                <w:b/>
                <w:bCs/>
                <w:color w:val="5A6A82"/>
                <w:sz w:val="20"/>
                <w:szCs w:val="20"/>
              </w:rPr>
              <w:t xml:space="preserve">Abdeckung</w:t>
            </w:r>
          </w:p>
          <w:p>
            <w:r>
              <w:rPr>
                <w:rFonts w:ascii="Arial" w:cs="Arial" w:eastAsia="Arial" w:hAnsi="Arial"/>
                <w:color w:val="1A1A1A"/>
                <w:sz w:val="20"/>
                <w:szCs w:val="20"/>
              </w:rPr>
              <w:t xml:space="preserve">• Globaler Algorithmischer Handel</w:t>
            </w:r>
          </w:p>
          <w:p>
            <w:r>
              <w:rPr>
                <w:rFonts w:ascii="Arial" w:cs="Arial" w:eastAsia="Arial" w:hAnsi="Arial"/>
                <w:color w:val="1A1A1A"/>
                <w:sz w:val="20"/>
                <w:szCs w:val="20"/>
              </w:rPr>
              <w:t xml:space="preserve">• KI in Finanzdienstleistungen</w:t>
            </w:r>
          </w:p>
          <w:p>
            <w:r>
              <w:rPr>
                <w:rFonts w:ascii="Arial" w:cs="Arial" w:eastAsia="Arial" w:hAnsi="Arial"/>
                <w:color w:val="1A1A1A"/>
                <w:sz w:val="20"/>
                <w:szCs w:val="20"/>
              </w:rPr>
              <w:t xml:space="preserve">• Europäische Einzelinvestoren</w:t>
            </w:r>
          </w:p>
          <w:p>
            <w:r>
              <w:rPr>
                <w:rFonts w:ascii="Arial" w:cs="Arial" w:eastAsia="Arial" w:hAnsi="Arial"/>
                <w:color w:val="1A1A1A"/>
                <w:sz w:val="20"/>
                <w:szCs w:val="20"/>
              </w:rPr>
              <w:t xml:space="preserve">• Österreichisches Tech-Ökosystem</w:t>
            </w:r>
          </w:p>
        </w:tc>
      </w:tr>
    </w:tbl>
    <w:p>
      <w:pPr>
        <w:spacing w:after="120"/>
      </w:pPr>
      <w:r>
        <w:t xml:space="preserve"/>
      </w:r>
    </w:p>
    <w:p>
      <w:pPr>
        <w:pBdr>
          <w:top w:val="single" w:color="C8A415" w:sz="4" w:space="6"/>
        </w:pBdr>
        <w:spacing w:before="200"/>
        <w:jc w:val="center"/>
      </w:pPr>
      <w:r>
        <w:rPr>
          <w:rFonts w:ascii="Arial" w:cs="Arial" w:eastAsia="Arial" w:hAnsi="Arial"/>
          <w:i/>
          <w:iCs/>
          <w:color w:val="5A6A82"/>
          <w:sz w:val="18"/>
          <w:szCs w:val="18"/>
        </w:rPr>
        <w:t xml:space="preserve">VERTRAULICH  —  Nur für Förderungsevaluierung und strategische Planung</w:t>
      </w:r>
    </w:p>
    <w:p>
      <w:r>
        <w:br w:type="page"/>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1. Geschäftlicher Überblick</w:t>
      </w:r>
    </w:p>
    <w:p>
      <w:pPr>
        <w:spacing w:after="120"/>
      </w:pPr>
      <w:r>
        <w:rPr>
          <w:rFonts w:ascii="Arial" w:cs="Arial" w:eastAsia="Arial" w:hAnsi="Arial"/>
          <w:color w:val="1A1A1A"/>
          <w:sz w:val="22"/>
          <w:szCs w:val="22"/>
        </w:rPr>
        <w:t xml:space="preserve">Der globale Markt für algorithmische Investitionen und künstliche Intelligenz im Finanzwesen stellt eine Multi-Milliarden-Dollar-Gelegenheit dar. FinPilot ist in einem schnell wachsenden Segment positioniert, in dem die Demokratisierung professioneller Tools die Beteiligung von Privatanleger neu gestaltet. Dieser Bericht analysiert globale Marktbedingungen, regionale Dynamiken, Wettbewerbspositionen und Eintrittsstrategien für nachhaltiges Umsatzwachstum.</w:t>
      </w:r>
    </w:p>
    <w:p>
      <w:pPr>
        <w:spacing w:after="120"/>
      </w:pPr>
      <w:r>
        <w:t xml:space="preserve"/>
      </w:r>
    </w:p>
    <w:p>
      <w:pPr>
        <w:pStyle w:val="Heading2"/>
        <w:spacing w:before="240" w:after="80"/>
      </w:pPr>
      <w:r>
        <w:rPr>
          <w:rFonts w:ascii="Arial" w:cs="Arial" w:eastAsia="Arial" w:hAnsi="Arial"/>
          <w:b/>
          <w:bCs/>
          <w:color w:val="2E5FA3"/>
          <w:sz w:val="24"/>
          <w:szCs w:val="24"/>
        </w:rPr>
        <w:t xml:space="preserve">1.1 Marktchancen-Zusammenfassung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Globaler Algo-Handelsmarkt (2028)</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$31,4 Milliarden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11,6%</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KI im Finanzwesen (2030)</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$22,6 Milliarden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23,4%</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EU-Privatanleger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58+ Millionen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Algo-Tool Penetration</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&lt;2%</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Österreichische Digital-First Anleger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 Million (45%)</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Markteintrittsziel</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Q2 2026</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2. Globale Marktgrößenanalyse</w:t>
      </w:r>
    </w:p>
    <w:p>
      <w:pPr>
        <w:pStyle w:val="Heading2"/>
        <w:spacing w:before="240" w:after="80"/>
      </w:pPr>
      <w:r>
        <w:rPr>
          <w:rFonts w:ascii="Arial" w:cs="Arial" w:eastAsia="Arial" w:hAnsi="Arial"/>
          <w:b/>
          <w:bCs/>
          <w:color w:val="2E5FA3"/>
          <w:sz w:val="24"/>
          <w:szCs w:val="24"/>
        </w:rPr>
        <w:t xml:space="preserve">2.1 Algorithmischer Handelsmarkt</w:t>
      </w:r>
    </w:p>
    <w:p>
      <w:pPr>
        <w:spacing w:after="120"/>
      </w:pPr>
      <w:r>
        <w:rPr>
          <w:rFonts w:ascii="Arial" w:cs="Arial" w:eastAsia="Arial" w:hAnsi="Arial"/>
          <w:color w:val="1A1A1A"/>
          <w:sz w:val="22"/>
          <w:szCs w:val="22"/>
        </w:rPr>
        <w:t xml:space="preserve">Der globale Markt für algorithmischen Handel wird bis 2028 auf $31,4 Milliarden projiziert und expandiert mit einer durchschnittlichen jährlichen Wachstumsrate (CAGR) von 11,6%. Dieses Wachstum wird angetrieben durch:</w:t>
      </w:r>
    </w:p>
    <w:p>
      <w:pPr>
        <w:pStyle w:val="ListParagraph"/>
        <w:numPr>
          <w:ilvl w:val="0"/>
          <w:numId w:val="2"/>
        </w:numPr>
        <w:spacing w:after="80"/>
      </w:pPr>
      <w:r>
        <w:rPr>
          <w:rFonts w:ascii="Arial" w:cs="Arial" w:eastAsia="Arial" w:hAnsi="Arial"/>
          <w:color w:val="1A1A1A"/>
          <w:sz w:val="22"/>
          <w:szCs w:val="22"/>
        </w:rPr>
        <w:t xml:space="preserve">Erhöhte Teilnahme von Privatanlegern: Privatanleger entfallen nun auf 25-30% der US-Aktienhandelsvolumina</w:t>
      </w:r>
    </w:p>
    <w:p>
      <w:pPr>
        <w:pStyle w:val="ListParagraph"/>
        <w:numPr>
          <w:ilvl w:val="0"/>
          <w:numId w:val="2"/>
        </w:numPr>
        <w:spacing w:after="80"/>
      </w:pPr>
      <w:r>
        <w:rPr>
          <w:rFonts w:ascii="Arial" w:cs="Arial" w:eastAsia="Arial" w:hAnsi="Arial"/>
          <w:color w:val="1A1A1A"/>
          <w:sz w:val="22"/>
          <w:szCs w:val="22"/>
        </w:rPr>
        <w:t xml:space="preserve">Senkung der Recheninfrastrukturkosten, die Analysen zu geringeren Kosten ermöglicht</w:t>
      </w:r>
    </w:p>
    <w:p>
      <w:pPr>
        <w:pStyle w:val="ListParagraph"/>
        <w:numPr>
          <w:ilvl w:val="0"/>
          <w:numId w:val="2"/>
        </w:numPr>
        <w:spacing w:after="80"/>
      </w:pPr>
      <w:r>
        <w:rPr>
          <w:rFonts w:ascii="Arial" w:cs="Arial" w:eastAsia="Arial" w:hAnsi="Arial"/>
          <w:color w:val="1A1A1A"/>
          <w:sz w:val="22"/>
          <w:szCs w:val="22"/>
        </w:rPr>
        <w:t xml:space="preserve">Regulatorische Rückenwind in Europa (MiFID II) beschleunigen Transparenz und technologische Einführung</w:t>
      </w:r>
    </w:p>
    <w:p>
      <w:pPr>
        <w:pStyle w:val="ListParagraph"/>
        <w:numPr>
          <w:ilvl w:val="0"/>
          <w:numId w:val="2"/>
        </w:numPr>
        <w:spacing w:after="80"/>
      </w:pPr>
      <w:r>
        <w:rPr>
          <w:rFonts w:ascii="Arial" w:cs="Arial" w:eastAsia="Arial" w:hAnsi="Arial"/>
          <w:color w:val="1A1A1A"/>
          <w:sz w:val="22"/>
          <w:szCs w:val="22"/>
        </w:rPr>
        <w:t xml:space="preserve">Institutionales Kapital stellt algorithmische Strategien über Anlageklassen bereit (Aktien, Kryptowährung, Forex)</w:t>
      </w:r>
    </w:p>
    <w:p>
      <w:pPr>
        <w:spacing w:after="120"/>
      </w:pPr>
      <w:r>
        <w:t xml:space="preserve"/>
      </w:r>
    </w:p>
    <w:p>
      <w:pPr>
        <w:pStyle w:val="Heading2"/>
        <w:spacing w:before="240" w:after="80"/>
      </w:pPr>
      <w:r>
        <w:rPr>
          <w:rFonts w:ascii="Arial" w:cs="Arial" w:eastAsia="Arial" w:hAnsi="Arial"/>
          <w:b/>
          <w:bCs/>
          <w:color w:val="2E5FA3"/>
          <w:sz w:val="24"/>
          <w:szCs w:val="24"/>
        </w:rPr>
        <w:t xml:space="preserve">2.2 KI in Finanzdienstleistungen Markt</w:t>
      </w:r>
    </w:p>
    <w:p>
      <w:pPr>
        <w:spacing w:after="120"/>
      </w:pPr>
      <w:r>
        <w:rPr>
          <w:rFonts w:ascii="Arial" w:cs="Arial" w:eastAsia="Arial" w:hAnsi="Arial"/>
          <w:color w:val="1A1A1A"/>
          <w:sz w:val="22"/>
          <w:szCs w:val="22"/>
        </w:rPr>
        <w:t xml:space="preserve">KI-gesteuerte Finanzdienstleistungen stellen das am schnellsten wachsende Segment dar, mit einem Markt von $22,6 Milliarden bis 2030 bei einer CAGR von 23,4%. Wichtige Anwendungen umfassen:</w:t>
      </w:r>
    </w:p>
    <w:p>
      <w:pPr>
        <w:pStyle w:val="ListParagraph"/>
        <w:numPr>
          <w:ilvl w:val="0"/>
          <w:numId w:val="2"/>
        </w:numPr>
        <w:spacing w:after="80"/>
      </w:pPr>
      <w:r>
        <w:rPr>
          <w:rFonts w:ascii="Arial" w:cs="Arial" w:eastAsia="Arial" w:hAnsi="Arial"/>
          <w:color w:val="1A1A1A"/>
          <w:sz w:val="22"/>
          <w:szCs w:val="22"/>
        </w:rPr>
        <w:t xml:space="preserve">Prädiktive Analytik und Risikomodellierung</w:t>
      </w:r>
    </w:p>
    <w:p>
      <w:pPr>
        <w:pStyle w:val="ListParagraph"/>
        <w:numPr>
          <w:ilvl w:val="0"/>
          <w:numId w:val="2"/>
        </w:numPr>
        <w:spacing w:after="80"/>
      </w:pPr>
      <w:r>
        <w:rPr>
          <w:rFonts w:ascii="Arial" w:cs="Arial" w:eastAsia="Arial" w:hAnsi="Arial"/>
          <w:color w:val="1A1A1A"/>
          <w:sz w:val="22"/>
          <w:szCs w:val="22"/>
        </w:rPr>
        <w:t xml:space="preserve">Automatisierte Portfoliooptimierung</w:t>
      </w:r>
    </w:p>
    <w:p>
      <w:pPr>
        <w:pStyle w:val="ListParagraph"/>
        <w:numPr>
          <w:ilvl w:val="0"/>
          <w:numId w:val="2"/>
        </w:numPr>
        <w:spacing w:after="80"/>
      </w:pPr>
      <w:r>
        <w:rPr>
          <w:rFonts w:ascii="Arial" w:cs="Arial" w:eastAsia="Arial" w:hAnsi="Arial"/>
          <w:color w:val="1A1A1A"/>
          <w:sz w:val="22"/>
          <w:szCs w:val="22"/>
        </w:rPr>
        <w:t xml:space="preserve">Stimmungsanalyse und Nachrichtenabbau</w:t>
      </w:r>
    </w:p>
    <w:p>
      <w:pPr>
        <w:pStyle w:val="ListParagraph"/>
        <w:numPr>
          <w:ilvl w:val="0"/>
          <w:numId w:val="2"/>
        </w:numPr>
        <w:spacing w:after="80"/>
      </w:pPr>
      <w:r>
        <w:rPr>
          <w:rFonts w:ascii="Arial" w:cs="Arial" w:eastAsia="Arial" w:hAnsi="Arial"/>
          <w:color w:val="1A1A1A"/>
          <w:sz w:val="22"/>
          <w:szCs w:val="22"/>
        </w:rPr>
        <w:t xml:space="preserve">LLM-basierte Finanzberatung</w:t>
      </w:r>
    </w:p>
    <w:p>
      <w:pPr>
        <w:pStyle w:val="ListParagraph"/>
        <w:numPr>
          <w:ilvl w:val="0"/>
          <w:numId w:val="2"/>
        </w:numPr>
        <w:spacing w:after="80"/>
      </w:pPr>
      <w:r>
        <w:rPr>
          <w:rFonts w:ascii="Arial" w:cs="Arial" w:eastAsia="Arial" w:hAnsi="Arial"/>
          <w:color w:val="1A1A1A"/>
          <w:sz w:val="22"/>
          <w:szCs w:val="22"/>
        </w:rPr>
        <w:t xml:space="preserve">Betrugserkennung und Compliance-Automatisierung</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3. Europäische Marktanalyse</w:t>
      </w:r>
    </w:p>
    <w:p>
      <w:pPr>
        <w:pStyle w:val="Heading2"/>
        <w:spacing w:before="240" w:after="80"/>
      </w:pPr>
      <w:r>
        <w:rPr>
          <w:rFonts w:ascii="Arial" w:cs="Arial" w:eastAsia="Arial" w:hAnsi="Arial"/>
          <w:b/>
          <w:bCs/>
          <w:color w:val="2E5FA3"/>
          <w:sz w:val="24"/>
          <w:szCs w:val="24"/>
        </w:rPr>
        <w:t xml:space="preserve">3.1 Basis der Privatanleger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28"/>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Privatanleger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Digital-First %</w:t>
            </w:r>
          </w:p>
        </w:tc>
        <w:tc>
          <w:tcPr>
            <w:tcW w:type="dxa" w:w="18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Algo-Tool Nutzung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Europa (Gesamt)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58+ Millionen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38%</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&lt;2%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Deutschland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 Millionen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40%</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Österreich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 Millionen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45%</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0,8%</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Frankreich</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10,5 Millionen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Italien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8,8 Millionen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32%</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0,6%</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Niederlande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3,2 Millionen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52%</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Polen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5,6 Millionen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33%</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0,5%</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3.2 EU Regulatorische Landschaft</w:t>
      </w:r>
    </w:p>
    <w:p>
      <w:pPr>
        <w:spacing w:after="120"/>
      </w:pPr>
      <w:r>
        <w:rPr>
          <w:rFonts w:ascii="Arial" w:cs="Arial" w:eastAsia="Arial" w:hAnsi="Arial"/>
          <w:color w:val="1A1A1A"/>
          <w:sz w:val="22"/>
          <w:szCs w:val="22"/>
        </w:rPr>
        <w:t xml:space="preserve">MiFID II und MiFID III Regelungen schaffen sowohl Barrieren als auch Möglichkeiten:</w:t>
      </w:r>
    </w:p>
    <w:p>
      <w:pPr>
        <w:pStyle w:val="ListParagraph"/>
        <w:numPr>
          <w:ilvl w:val="0"/>
          <w:numId w:val="2"/>
        </w:numPr>
        <w:spacing w:after="80"/>
      </w:pPr>
      <w:r>
        <w:rPr>
          <w:rFonts w:ascii="Arial" w:cs="Arial" w:eastAsia="Arial" w:hAnsi="Arial"/>
          <w:color w:val="1A1A1A"/>
          <w:sz w:val="22"/>
          <w:szCs w:val="22"/>
        </w:rPr>
        <w:t xml:space="preserve">Barrieren: Strikte Positionsgrenzen, Leerverkaufsverbote und Transaktionskosten hemmen die Einführung von Algo durch Privatanleger</w:t>
      </w:r>
    </w:p>
    <w:p>
      <w:pPr>
        <w:pStyle w:val="ListParagraph"/>
        <w:numPr>
          <w:ilvl w:val="0"/>
          <w:numId w:val="2"/>
        </w:numPr>
        <w:spacing w:after="80"/>
      </w:pPr>
      <w:r>
        <w:rPr>
          <w:rFonts w:ascii="Arial" w:cs="Arial" w:eastAsia="Arial" w:hAnsi="Arial"/>
          <w:color w:val="1A1A1A"/>
          <w:sz w:val="22"/>
          <w:szCs w:val="22"/>
        </w:rPr>
        <w:t xml:space="preserve">Möglichkeiten: Regulatorische Klarheit und Anlegerschutzrahmen fördern die Migration von Instituten auf konforme Retail-Plattformen</w:t>
      </w:r>
    </w:p>
    <w:p>
      <w:pPr>
        <w:pStyle w:val="ListParagraph"/>
        <w:numPr>
          <w:ilvl w:val="0"/>
          <w:numId w:val="2"/>
        </w:numPr>
        <w:spacing w:after="80"/>
      </w:pPr>
      <w:r>
        <w:rPr>
          <w:rFonts w:ascii="Arial" w:cs="Arial" w:eastAsia="Arial" w:hAnsi="Arial"/>
          <w:color w:val="1A1A1A"/>
          <w:sz w:val="22"/>
          <w:szCs w:val="22"/>
        </w:rPr>
        <w:t xml:space="preserve">Rückenwind: Open Finance-Richtlinien (PSD2, FAPI) ermöglichen Drittanbieter-Datenaggregation und API-Zugang</w:t>
      </w:r>
    </w:p>
    <w:p>
      <w:pPr>
        <w:spacing w:after="120"/>
      </w:pPr>
      <w:r>
        <w:t xml:space="preserve"/>
      </w:r>
    </w:p>
    <w:p>
      <w:pPr>
        <w:pStyle w:val="Heading2"/>
        <w:spacing w:before="240" w:after="80"/>
      </w:pPr>
      <w:r>
        <w:rPr>
          <w:rFonts w:ascii="Arial" w:cs="Arial" w:eastAsia="Arial" w:hAnsi="Arial"/>
          <w:b/>
          <w:bCs/>
          <w:color w:val="2E5FA3"/>
          <w:sz w:val="24"/>
          <w:szCs w:val="24"/>
        </w:rPr>
        <w:t xml:space="preserve">3.3 Wettbewerbliche Positionierung in Europa</w:t>
      </w:r>
    </w:p>
    <w:p>
      <w:pPr>
        <w:spacing w:after="120"/>
      </w:pPr>
      <w:r>
        <w:rPr>
          <w:rFonts w:ascii="Arial" w:cs="Arial" w:eastAsia="Arial" w:hAnsi="Arial"/>
          <w:color w:val="1A1A1A"/>
          <w:sz w:val="22"/>
          <w:szCs w:val="22"/>
        </w:rPr>
        <w:t xml:space="preserve">Derzeit werden algorithmische Handelstools in Europa dominiert durch:</w:t>
      </w:r>
    </w:p>
    <w:p>
      <w:pPr>
        <w:pStyle w:val="ListParagraph"/>
        <w:numPr>
          <w:ilvl w:val="0"/>
          <w:numId w:val="2"/>
        </w:numPr>
        <w:spacing w:after="80"/>
      </w:pPr>
      <w:r>
        <w:rPr>
          <w:rFonts w:ascii="Arial" w:cs="Arial" w:eastAsia="Arial" w:hAnsi="Arial"/>
          <w:color w:val="1A1A1A"/>
          <w:sz w:val="22"/>
          <w:szCs w:val="22"/>
        </w:rPr>
        <w:t xml:space="preserve">Kostspieliges institutionelles Lösungen: Bloomberg Terminal (€25K/Jahr), FactSet (€30K/Jahr)</w:t>
      </w:r>
    </w:p>
    <w:p>
      <w:pPr>
        <w:pStyle w:val="ListParagraph"/>
        <w:numPr>
          <w:ilvl w:val="0"/>
          <w:numId w:val="2"/>
        </w:numPr>
        <w:spacing w:after="80"/>
      </w:pPr>
      <w:r>
        <w:rPr>
          <w:rFonts w:ascii="Arial" w:cs="Arial" w:eastAsia="Arial" w:hAnsi="Arial"/>
          <w:color w:val="1A1A1A"/>
          <w:sz w:val="22"/>
          <w:szCs w:val="22"/>
        </w:rPr>
        <w:t xml:space="preserve">Entwickler-Plattformen: QuantConnect (€200/Monat), Zipline (Open-Source)</w:t>
      </w:r>
    </w:p>
    <w:p>
      <w:pPr>
        <w:pStyle w:val="ListParagraph"/>
        <w:numPr>
          <w:ilvl w:val="0"/>
          <w:numId w:val="2"/>
        </w:numPr>
        <w:spacing w:after="80"/>
      </w:pPr>
      <w:r>
        <w:rPr>
          <w:rFonts w:ascii="Arial" w:cs="Arial" w:eastAsia="Arial" w:hAnsi="Arial"/>
          <w:color w:val="1A1A1A"/>
          <w:sz w:val="22"/>
          <w:szCs w:val="22"/>
        </w:rPr>
        <w:t xml:space="preserve">Broker mit begrenzten Tools: Interactive Brokers, Degiro, Saxo Bank</w:t>
      </w:r>
    </w:p>
    <w:p>
      <w:pPr>
        <w:spacing w:after="120"/>
      </w:pPr>
      <w:r>
        <w:rPr>
          <w:rFonts w:ascii="Arial" w:cs="Arial" w:eastAsia="Arial" w:hAnsi="Arial"/>
          <w:color w:val="1A1A1A"/>
          <w:sz w:val="22"/>
          <w:szCs w:val="22"/>
        </w:rPr>
        <w:t xml:space="preserve">Kein etablierter europäischer Spieler bietet die FinPilot-Kombination: DRL-Agenten + LLM-Synthese + Verbraucherpreisgestaltung (&lt;€100/Monat) + Institutionelles Risikomanagement.</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4. Österreichische Marktanalyse</w:t>
      </w:r>
    </w:p>
    <w:p>
      <w:pPr>
        <w:pStyle w:val="Heading2"/>
        <w:spacing w:before="240" w:after="80"/>
      </w:pPr>
      <w:r>
        <w:rPr>
          <w:rFonts w:ascii="Arial" w:cs="Arial" w:eastAsia="Arial" w:hAnsi="Arial"/>
          <w:b/>
          <w:bCs/>
          <w:color w:val="2E5FA3"/>
          <w:sz w:val="24"/>
          <w:szCs w:val="24"/>
        </w:rPr>
        <w:t xml:space="preserve">4.1 Österreichischer Privatanleger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28"/>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Metrik</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2024 Wert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Wachstumsrate</w:t>
            </w:r>
          </w:p>
        </w:tc>
        <w:tc>
          <w:tcPr>
            <w:tcW w:type="dxa" w:w="20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Prognose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Privatanleger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 Millionen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+4,2% JoJ</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2,7 Millionen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Digital-First Anleger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1,1 Millionen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+8,5% JoJ</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1,4 Millionen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Durchschn. Krypto-Bestände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 des Portfolios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 JoJ</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 des Portfolios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ETF/Indexfonds-Einführung</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+6% JoJ</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Aktive Trader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+7,3% JoJ</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215.000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4.2 Stärken des österreichischen Startup-Ökosystems</w:t>
      </w:r>
    </w:p>
    <w:p>
      <w:pPr>
        <w:pStyle w:val="ListParagraph"/>
        <w:numPr>
          <w:ilvl w:val="0"/>
          <w:numId w:val="2"/>
        </w:numPr>
        <w:spacing w:after="80"/>
      </w:pPr>
      <w:r>
        <w:rPr>
          <w:rFonts w:ascii="Arial" w:cs="Arial" w:eastAsia="Arial" w:hAnsi="Arial"/>
          <w:color w:val="1A1A1A"/>
          <w:sz w:val="22"/>
          <w:szCs w:val="22"/>
        </w:rPr>
        <w:t xml:space="preserve">Starke Fintech-Hubs: Wien, Graz, Linz beherbergen 200+ Fintech-Unternehmen</w:t>
      </w:r>
    </w:p>
    <w:p>
      <w:pPr>
        <w:pStyle w:val="ListParagraph"/>
        <w:numPr>
          <w:ilvl w:val="0"/>
          <w:numId w:val="2"/>
        </w:numPr>
        <w:spacing w:after="80"/>
      </w:pPr>
      <w:r>
        <w:rPr>
          <w:rFonts w:ascii="Arial" w:cs="Arial" w:eastAsia="Arial" w:hAnsi="Arial"/>
          <w:color w:val="1A1A1A"/>
          <w:sz w:val="22"/>
          <w:szCs w:val="22"/>
        </w:rPr>
        <w:t xml:space="preserve">Regierungsunterstützung: aws Gründungsfonds, FFG-Finanzierung, EIC-Programme mit €500K+ verfügbar</w:t>
      </w:r>
    </w:p>
    <w:p>
      <w:pPr>
        <w:pStyle w:val="ListParagraph"/>
        <w:numPr>
          <w:ilvl w:val="0"/>
          <w:numId w:val="2"/>
        </w:numPr>
        <w:spacing w:after="80"/>
      </w:pPr>
      <w:r>
        <w:rPr>
          <w:rFonts w:ascii="Arial" w:cs="Arial" w:eastAsia="Arial" w:hAnsi="Arial"/>
          <w:color w:val="1A1A1A"/>
          <w:sz w:val="22"/>
          <w:szCs w:val="22"/>
        </w:rPr>
        <w:t xml:space="preserve">Tech-Talente: Österreich verfügt über 15.000+ Softwareentwickler mit Expertise in Finanzen/ML</w:t>
      </w:r>
    </w:p>
    <w:p>
      <w:pPr>
        <w:pStyle w:val="ListParagraph"/>
        <w:numPr>
          <w:ilvl w:val="0"/>
          <w:numId w:val="2"/>
        </w:numPr>
        <w:spacing w:after="80"/>
      </w:pPr>
      <w:r>
        <w:rPr>
          <w:rFonts w:ascii="Arial" w:cs="Arial" w:eastAsia="Arial" w:hAnsi="Arial"/>
          <w:color w:val="1A1A1A"/>
          <w:sz w:val="22"/>
          <w:szCs w:val="22"/>
        </w:rPr>
        <w:t xml:space="preserve">Strategischer Standort: Brücke zwischen deutschem Markt und Osteuropa</w:t>
      </w:r>
    </w:p>
    <w:p>
      <w:pPr>
        <w:spacing w:after="120"/>
      </w:pPr>
      <w:r>
        <w:t xml:space="preserve"/>
      </w:r>
    </w:p>
    <w:p>
      <w:pPr>
        <w:pStyle w:val="Heading2"/>
        <w:spacing w:before="240" w:after="80"/>
      </w:pPr>
      <w:r>
        <w:rPr>
          <w:rFonts w:ascii="Arial" w:cs="Arial" w:eastAsia="Arial" w:hAnsi="Arial"/>
          <w:b/>
          <w:bCs/>
          <w:color w:val="2E5FA3"/>
          <w:sz w:val="24"/>
          <w:szCs w:val="24"/>
        </w:rPr>
        <w:t xml:space="preserve">4.3 Niederösterreichischer Regionalmarkt</w:t>
      </w:r>
    </w:p>
    <w:p>
      <w:pPr>
        <w:spacing w:after="120"/>
      </w:pPr>
      <w:r>
        <w:rPr>
          <w:rFonts w:ascii="Arial" w:cs="Arial" w:eastAsia="Arial" w:hAnsi="Arial"/>
          <w:color w:val="1A1A1A"/>
          <w:sz w:val="22"/>
          <w:szCs w:val="22"/>
        </w:rPr>
        <w:t xml:space="preserve">Gänserndorf bietet Zugang zu:</w:t>
      </w:r>
    </w:p>
    <w:p>
      <w:pPr>
        <w:pStyle w:val="ListParagraph"/>
        <w:numPr>
          <w:ilvl w:val="0"/>
          <w:numId w:val="2"/>
        </w:numPr>
        <w:spacing w:after="80"/>
      </w:pPr>
      <w:r>
        <w:rPr>
          <w:rFonts w:ascii="Arial" w:cs="Arial" w:eastAsia="Arial" w:hAnsi="Arial"/>
          <w:color w:val="1A1A1A"/>
          <w:sz w:val="22"/>
          <w:szCs w:val="22"/>
        </w:rPr>
        <w:t xml:space="preserve">Techebereich Niederösterreich mit 50+ aktiven Startups</w:t>
      </w:r>
    </w:p>
    <w:p>
      <w:pPr>
        <w:pStyle w:val="ListParagraph"/>
        <w:numPr>
          <w:ilvl w:val="0"/>
          <w:numId w:val="2"/>
        </w:numPr>
        <w:spacing w:after="80"/>
      </w:pPr>
      <w:r>
        <w:rPr>
          <w:rFonts w:ascii="Arial" w:cs="Arial" w:eastAsia="Arial" w:hAnsi="Arial"/>
          <w:color w:val="1A1A1A"/>
          <w:sz w:val="22"/>
          <w:szCs w:val="22"/>
        </w:rPr>
        <w:t xml:space="preserve">Nähe zur Wiener Finanzinfrastruktur</w:t>
      </w:r>
    </w:p>
    <w:p>
      <w:pPr>
        <w:pStyle w:val="ListParagraph"/>
        <w:numPr>
          <w:ilvl w:val="0"/>
          <w:numId w:val="2"/>
        </w:numPr>
        <w:spacing w:after="80"/>
      </w:pPr>
      <w:r>
        <w:rPr>
          <w:rFonts w:ascii="Arial" w:cs="Arial" w:eastAsia="Arial" w:hAnsi="Arial"/>
          <w:color w:val="1A1A1A"/>
          <w:sz w:val="22"/>
          <w:szCs w:val="22"/>
        </w:rPr>
        <w:t xml:space="preserve">Zugang zu Österreichischem Risikokapital (Speedinvest, Brainforce, VCs mit €20B+ AUM)</w:t>
      </w:r>
    </w:p>
    <w:p>
      <w:pPr>
        <w:pStyle w:val="ListParagraph"/>
        <w:numPr>
          <w:ilvl w:val="0"/>
          <w:numId w:val="2"/>
        </w:numPr>
        <w:spacing w:after="80"/>
      </w:pPr>
      <w:r>
        <w:rPr>
          <w:rFonts w:ascii="Arial" w:cs="Arial" w:eastAsia="Arial" w:hAnsi="Arial"/>
          <w:color w:val="1A1A1A"/>
          <w:sz w:val="22"/>
          <w:szCs w:val="22"/>
        </w:rPr>
        <w:t xml:space="preserve">Regionale Business Incubatoren und Innovationszentren</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5. Kundenensegmentierung</w:t>
      </w:r>
    </w:p>
    <w:p>
      <w:pPr>
        <w:pStyle w:val="Heading2"/>
        <w:spacing w:before="240" w:after="80"/>
      </w:pPr>
      <w:r>
        <w:rPr>
          <w:rFonts w:ascii="Arial" w:cs="Arial" w:eastAsia="Arial" w:hAnsi="Arial"/>
          <w:b/>
          <w:bCs/>
          <w:color w:val="2E5FA3"/>
          <w:sz w:val="24"/>
          <w:szCs w:val="24"/>
        </w:rPr>
        <w:t xml:space="preserve">5.1 Adressierbare Kundensegmente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28"/>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Größe (EU)</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ARPU</w:t>
            </w:r>
          </w:p>
        </w:tc>
        <w:tc>
          <w:tcPr>
            <w:tcW w:type="dxa" w:w="20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Anwendungsfall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Privatanleger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500K-1M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€29-99/Mo</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Persönliche Portfolio-Optimierung</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Kleine Fonds (&lt;€100M AUM)</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2.500-5K</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€5K-20K/Mo</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Algo-Signalsgenerierung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Fintech-Entwickler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5K-10K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€49/Mo API</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Datenintegration, Strategien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Family Offices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1K-2K</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€50K+ /Mo White-Label</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Benutzerdefinierte Algorithmusplattformen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Finanzberater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10K-15K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€99/Mo pro</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Portfolio-Empfehlungen für Kunden</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5.2 Werteversprechen nach Segment</w:t>
      </w:r>
    </w:p>
    <w:p>
      <w:pPr>
        <w:pStyle w:val="Heading3"/>
        <w:spacing w:before="180" w:after="60"/>
      </w:pPr>
      <w:r>
        <w:rPr>
          <w:rFonts w:ascii="Arial" w:cs="Arial" w:eastAsia="Arial" w:hAnsi="Arial"/>
          <w:b/>
          <w:bCs/>
          <w:color w:val="5A6A82"/>
          <w:sz w:val="22"/>
          <w:szCs w:val="22"/>
        </w:rPr>
        <w:t xml:space="preserve">Privatanleger</w:t>
      </w:r>
    </w:p>
    <w:p>
      <w:pPr>
        <w:pStyle w:val="ListParagraph"/>
        <w:numPr>
          <w:ilvl w:val="0"/>
          <w:numId w:val="2"/>
        </w:numPr>
        <w:spacing w:after="80"/>
      </w:pPr>
      <w:r>
        <w:rPr>
          <w:rFonts w:ascii="Arial" w:cs="Arial" w:eastAsia="Arial" w:hAnsi="Arial"/>
          <w:color w:val="1A1A1A"/>
          <w:sz w:val="22"/>
          <w:szCs w:val="22"/>
        </w:rPr>
        <w:t xml:space="preserve">Kostenersparnisse: 95% günstiger als Bloomberg Terminal (€29 vs €2.083/Monat)</w:t>
      </w:r>
    </w:p>
    <w:p>
      <w:pPr>
        <w:pStyle w:val="ListParagraph"/>
        <w:numPr>
          <w:ilvl w:val="0"/>
          <w:numId w:val="2"/>
        </w:numPr>
        <w:spacing w:after="80"/>
      </w:pPr>
      <w:r>
        <w:rPr>
          <w:rFonts w:ascii="Arial" w:cs="Arial" w:eastAsia="Arial" w:hAnsi="Arial"/>
          <w:color w:val="1A1A1A"/>
          <w:sz w:val="22"/>
          <w:szCs w:val="22"/>
        </w:rPr>
        <w:t xml:space="preserve">Einfachheit: Keine Codierung erforderlich; Dashboard-basierte Analyse</w:t>
      </w:r>
    </w:p>
    <w:p>
      <w:pPr>
        <w:pStyle w:val="ListParagraph"/>
        <w:numPr>
          <w:ilvl w:val="0"/>
          <w:numId w:val="2"/>
        </w:numPr>
        <w:spacing w:after="80"/>
      </w:pPr>
      <w:r>
        <w:rPr>
          <w:rFonts w:ascii="Arial" w:cs="Arial" w:eastAsia="Arial" w:hAnsi="Arial"/>
          <w:color w:val="1A1A1A"/>
          <w:sz w:val="22"/>
          <w:szCs w:val="22"/>
        </w:rPr>
        <w:t xml:space="preserve">Zugänglichkeit: Mobile App zur Echtzeitüberwachung des Portfolios</w:t>
      </w:r>
    </w:p>
    <w:p>
      <w:pPr>
        <w:spacing w:after="120"/>
      </w:pPr>
      <w:r>
        <w:t xml:space="preserve"/>
      </w:r>
    </w:p>
    <w:p>
      <w:pPr>
        <w:pStyle w:val="Heading3"/>
        <w:spacing w:before="180" w:after="60"/>
      </w:pPr>
      <w:r>
        <w:rPr>
          <w:rFonts w:ascii="Arial" w:cs="Arial" w:eastAsia="Arial" w:hAnsi="Arial"/>
          <w:b/>
          <w:bCs/>
          <w:color w:val="5A6A82"/>
          <w:sz w:val="22"/>
          <w:szCs w:val="22"/>
        </w:rPr>
        <w:t xml:space="preserve">Kleine Fonds &amp; Vermögensverwalter</w:t>
      </w:r>
    </w:p>
    <w:p>
      <w:pPr>
        <w:pStyle w:val="ListParagraph"/>
        <w:numPr>
          <w:ilvl w:val="0"/>
          <w:numId w:val="2"/>
        </w:numPr>
        <w:spacing w:after="80"/>
      </w:pPr>
      <w:r>
        <w:rPr>
          <w:rFonts w:ascii="Arial" w:cs="Arial" w:eastAsia="Arial" w:hAnsi="Arial"/>
          <w:color w:val="1A1A1A"/>
          <w:sz w:val="22"/>
          <w:szCs w:val="22"/>
        </w:rPr>
        <w:t xml:space="preserve">Institutionelle Funktionen: Positionsgröße, Hebelkontrolle, Risikolimits</w:t>
      </w:r>
    </w:p>
    <w:p>
      <w:pPr>
        <w:pStyle w:val="ListParagraph"/>
        <w:numPr>
          <w:ilvl w:val="0"/>
          <w:numId w:val="2"/>
        </w:numPr>
        <w:spacing w:after="80"/>
      </w:pPr>
      <w:r>
        <w:rPr>
          <w:rFonts w:ascii="Arial" w:cs="Arial" w:eastAsia="Arial" w:hAnsi="Arial"/>
          <w:color w:val="1A1A1A"/>
          <w:sz w:val="22"/>
          <w:szCs w:val="22"/>
        </w:rPr>
        <w:t xml:space="preserve">Anpassung: White-Label-APIs für Branded Solutions</w:t>
      </w:r>
    </w:p>
    <w:p>
      <w:pPr>
        <w:pStyle w:val="ListParagraph"/>
        <w:numPr>
          <w:ilvl w:val="0"/>
          <w:numId w:val="2"/>
        </w:numPr>
        <w:spacing w:after="80"/>
      </w:pPr>
      <w:r>
        <w:rPr>
          <w:rFonts w:ascii="Arial" w:cs="Arial" w:eastAsia="Arial" w:hAnsi="Arial"/>
          <w:color w:val="1A1A1A"/>
          <w:sz w:val="22"/>
          <w:szCs w:val="22"/>
        </w:rPr>
        <w:t xml:space="preserve">Integration: Alpaca, Interactive Brokers, Saxo Bank Konnektivität</w:t>
      </w:r>
    </w:p>
    <w:p>
      <w:pPr>
        <w:spacing w:after="120"/>
      </w:pPr>
      <w:r>
        <w:t xml:space="preserve"/>
      </w:r>
    </w:p>
    <w:p>
      <w:pPr>
        <w:pStyle w:val="Heading3"/>
        <w:spacing w:before="180" w:after="60"/>
      </w:pPr>
      <w:r>
        <w:rPr>
          <w:rFonts w:ascii="Arial" w:cs="Arial" w:eastAsia="Arial" w:hAnsi="Arial"/>
          <w:b/>
          <w:bCs/>
          <w:color w:val="5A6A82"/>
          <w:sz w:val="22"/>
          <w:szCs w:val="22"/>
        </w:rPr>
        <w:t xml:space="preserve">Fintech-Entwickler</w:t>
      </w:r>
    </w:p>
    <w:p>
      <w:pPr>
        <w:pStyle w:val="ListParagraph"/>
        <w:numPr>
          <w:ilvl w:val="0"/>
          <w:numId w:val="2"/>
        </w:numPr>
        <w:spacing w:after="80"/>
      </w:pPr>
      <w:r>
        <w:rPr>
          <w:rFonts w:ascii="Arial" w:cs="Arial" w:eastAsia="Arial" w:hAnsi="Arial"/>
          <w:color w:val="1A1A1A"/>
          <w:sz w:val="22"/>
          <w:szCs w:val="22"/>
        </w:rPr>
        <w:t xml:space="preserve">API-First Architektur: 99,9% Uptime SLA</w:t>
      </w:r>
    </w:p>
    <w:p>
      <w:pPr>
        <w:pStyle w:val="ListParagraph"/>
        <w:numPr>
          <w:ilvl w:val="0"/>
          <w:numId w:val="2"/>
        </w:numPr>
        <w:spacing w:after="80"/>
      </w:pPr>
      <w:r>
        <w:rPr>
          <w:rFonts w:ascii="Arial" w:cs="Arial" w:eastAsia="Arial" w:hAnsi="Arial"/>
          <w:color w:val="1A1A1A"/>
          <w:sz w:val="22"/>
          <w:szCs w:val="22"/>
        </w:rPr>
        <w:t xml:space="preserve">LLM-Integration: Multi-Provider LLM Router für Resilienz</w:t>
      </w:r>
    </w:p>
    <w:p>
      <w:pPr>
        <w:pStyle w:val="ListParagraph"/>
        <w:numPr>
          <w:ilvl w:val="0"/>
          <w:numId w:val="2"/>
        </w:numPr>
        <w:spacing w:after="80"/>
      </w:pPr>
      <w:r>
        <w:rPr>
          <w:rFonts w:ascii="Arial" w:cs="Arial" w:eastAsia="Arial" w:hAnsi="Arial"/>
          <w:color w:val="1A1A1A"/>
          <w:sz w:val="22"/>
          <w:szCs w:val="22"/>
        </w:rPr>
        <w:t xml:space="preserve">Skalierbarkeit: Handhab 1.000+ Symbole in Echtzeit-Analyse</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6. Wettbewerbsanalyse</w:t>
      </w:r>
    </w:p>
    <w:p>
      <w:pPr>
        <w:pStyle w:val="Heading2"/>
        <w:spacing w:before="240" w:after="80"/>
      </w:pPr>
      <w:r>
        <w:rPr>
          <w:rFonts w:ascii="Arial" w:cs="Arial" w:eastAsia="Arial" w:hAnsi="Arial"/>
          <w:b/>
          <w:bCs/>
          <w:color w:val="2E5FA3"/>
          <w:sz w:val="24"/>
          <w:szCs w:val="24"/>
        </w:rPr>
        <w:t xml:space="preserve">6.1 Wettbewerbliche Landschaft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400"/>
        <w:gridCol w:w="1228"/>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Produkt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Preisstufe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DRL Agenten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LLM Integration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Risikokontrolle</w:t>
            </w:r>
          </w:p>
        </w:tc>
        <w:tc>
          <w:tcPr>
            <w:tcW w:type="dxa" w:w="12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Position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Bloomberg Terminal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€25K/J</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Ja</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Institutionell</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QuantConnect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€200/Mo</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Begrenzt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Grundlegend</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Entwickler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TradingView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Technische Analyse</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Koyfin</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€300/Mo</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Begrenzt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Grundlegend</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Analyst-Tools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Finviz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€40/Mo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Nein</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Screening</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FinPilot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€29-99/Mo</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Ja (19 Agenten)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Ja (Multi-LLM)</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PilotShield</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Retail/KMU</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6.2 Barrieren gegen Nachahmung</w:t>
      </w:r>
    </w:p>
    <w:p>
      <w:pPr>
        <w:pStyle w:val="ListParagraph"/>
        <w:numPr>
          <w:ilvl w:val="0"/>
          <w:numId w:val="2"/>
        </w:numPr>
        <w:spacing w:after="80"/>
      </w:pPr>
      <w:r>
        <w:rPr>
          <w:rFonts w:ascii="Arial" w:cs="Arial" w:eastAsia="Arial" w:hAnsi="Arial"/>
          <w:color w:val="1A1A1A"/>
          <w:sz w:val="22"/>
          <w:szCs w:val="22"/>
        </w:rPr>
        <w:t xml:space="preserve">Proprietäre DRL-Modelle trainiert auf 5+ Jahren Marktdaten mit Curriculum Learning</w:t>
      </w:r>
    </w:p>
    <w:p>
      <w:pPr>
        <w:pStyle w:val="ListParagraph"/>
        <w:numPr>
          <w:ilvl w:val="0"/>
          <w:numId w:val="2"/>
        </w:numPr>
        <w:spacing w:after="80"/>
      </w:pPr>
      <w:r>
        <w:rPr>
          <w:rFonts w:ascii="Arial" w:cs="Arial" w:eastAsia="Arial" w:hAnsi="Arial"/>
          <w:color w:val="1A1A1A"/>
          <w:sz w:val="22"/>
          <w:szCs w:val="22"/>
        </w:rPr>
        <w:t xml:space="preserve">Multi-LLM Failover-Architektur (Groq, Claude, Gemini) erfordert Enterprise-Partnerschaften</w:t>
      </w:r>
    </w:p>
    <w:p>
      <w:pPr>
        <w:pStyle w:val="ListParagraph"/>
        <w:numPr>
          <w:ilvl w:val="0"/>
          <w:numId w:val="2"/>
        </w:numPr>
        <w:spacing w:after="80"/>
      </w:pPr>
      <w:r>
        <w:rPr>
          <w:rFonts w:ascii="Arial" w:cs="Arial" w:eastAsia="Arial" w:hAnsi="Arial"/>
          <w:color w:val="1A1A1A"/>
          <w:sz w:val="22"/>
          <w:szCs w:val="22"/>
        </w:rPr>
        <w:t xml:space="preserve">PilotShield Risikorahmen mit Optuna-optimierten Einschränkungen</w:t>
      </w:r>
    </w:p>
    <w:p>
      <w:pPr>
        <w:pStyle w:val="ListParagraph"/>
        <w:numPr>
          <w:ilvl w:val="0"/>
          <w:numId w:val="2"/>
        </w:numPr>
        <w:spacing w:after="80"/>
      </w:pPr>
      <w:r>
        <w:rPr>
          <w:rFonts w:ascii="Arial" w:cs="Arial" w:eastAsia="Arial" w:hAnsi="Arial"/>
          <w:color w:val="1A1A1A"/>
          <w:sz w:val="22"/>
          <w:szCs w:val="22"/>
        </w:rPr>
        <w:t xml:space="preserve">Produktionsinfrastruktur (Docker, CI/CD, Prometheus Monitoring) mit 6+ Monaten Engineering Schulden</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7. Markteintritt Strategie</w:t>
      </w:r>
    </w:p>
    <w:p>
      <w:pPr>
        <w:pStyle w:val="Heading2"/>
        <w:spacing w:before="240" w:after="80"/>
      </w:pPr>
      <w:r>
        <w:rPr>
          <w:rFonts w:ascii="Arial" w:cs="Arial" w:eastAsia="Arial" w:hAnsi="Arial"/>
          <w:b/>
          <w:bCs/>
          <w:color w:val="2E5FA3"/>
          <w:sz w:val="24"/>
          <w:szCs w:val="24"/>
        </w:rPr>
        <w:t xml:space="preserve">7.1 Geografischer phasenweiser Rollout</w:t>
      </w:r>
    </w:p>
    <w:p>
      <w:pPr>
        <w:pStyle w:val="Heading3"/>
        <w:spacing w:before="180" w:after="60"/>
      </w:pPr>
      <w:r>
        <w:rPr>
          <w:rFonts w:ascii="Arial" w:cs="Arial" w:eastAsia="Arial" w:hAnsi="Arial"/>
          <w:b/>
          <w:bCs/>
          <w:color w:val="5A6A82"/>
          <w:sz w:val="22"/>
          <w:szCs w:val="22"/>
        </w:rPr>
        <w:t xml:space="preserve">Phase 1: DACH-Brückenkopf (Q2-Q4 2026)</w:t>
      </w:r>
    </w:p>
    <w:p>
      <w:pPr>
        <w:pStyle w:val="ListParagraph"/>
        <w:numPr>
          <w:ilvl w:val="0"/>
          <w:numId w:val="2"/>
        </w:numPr>
        <w:spacing w:after="80"/>
      </w:pPr>
      <w:r>
        <w:rPr>
          <w:rFonts w:ascii="Arial" w:cs="Arial" w:eastAsia="Arial" w:hAnsi="Arial"/>
          <w:color w:val="1A1A1A"/>
          <w:sz w:val="22"/>
          <w:szCs w:val="22"/>
        </w:rPr>
        <w:t xml:space="preserve">Start in Österreich (Heimatmarkt + staatliche Unterstützung)</w:t>
      </w:r>
    </w:p>
    <w:p>
      <w:pPr>
        <w:pStyle w:val="ListParagraph"/>
        <w:numPr>
          <w:ilvl w:val="0"/>
          <w:numId w:val="2"/>
        </w:numPr>
        <w:spacing w:after="80"/>
      </w:pPr>
      <w:r>
        <w:rPr>
          <w:rFonts w:ascii="Arial" w:cs="Arial" w:eastAsia="Arial" w:hAnsi="Arial"/>
          <w:color w:val="1A1A1A"/>
          <w:sz w:val="22"/>
          <w:szCs w:val="22"/>
        </w:rPr>
        <w:t xml:space="preserve">Erweiterung nach Deutschland (12M Privatanleger, 40% Digital-First)</w:t>
      </w:r>
    </w:p>
    <w:p>
      <w:pPr>
        <w:pStyle w:val="ListParagraph"/>
        <w:numPr>
          <w:ilvl w:val="0"/>
          <w:numId w:val="2"/>
        </w:numPr>
        <w:spacing w:after="80"/>
      </w:pPr>
      <w:r>
        <w:rPr>
          <w:rFonts w:ascii="Arial" w:cs="Arial" w:eastAsia="Arial" w:hAnsi="Arial"/>
          <w:color w:val="1A1A1A"/>
          <w:sz w:val="22"/>
          <w:szCs w:val="22"/>
        </w:rPr>
        <w:t xml:space="preserve">Eintritt in die Schweiz (hochwertige Kundensegmente, regulatorische Klarheit)</w:t>
      </w:r>
    </w:p>
    <w:p>
      <w:pPr>
        <w:spacing w:after="120"/>
      </w:pPr>
      <w:r>
        <w:rPr>
          <w:rFonts w:ascii="Arial" w:cs="Arial" w:eastAsia="Arial" w:hAnsi="Arial"/>
          <w:color w:val="1A1A1A"/>
          <w:sz w:val="22"/>
          <w:szCs w:val="22"/>
        </w:rPr>
        <w:t xml:space="preserve">Ziel: 5.000 aktive Benutzer, €85K ARR bis Ende Q4 2026.</w:t>
      </w:r>
    </w:p>
    <w:p>
      <w:pPr>
        <w:spacing w:after="120"/>
      </w:pPr>
      <w:r>
        <w:t xml:space="preserve"/>
      </w:r>
    </w:p>
    <w:p>
      <w:pPr>
        <w:pStyle w:val="Heading3"/>
        <w:spacing w:before="180" w:after="60"/>
      </w:pPr>
      <w:r>
        <w:rPr>
          <w:rFonts w:ascii="Arial" w:cs="Arial" w:eastAsia="Arial" w:hAnsi="Arial"/>
          <w:b/>
          <w:bCs/>
          <w:color w:val="5A6A82"/>
          <w:sz w:val="22"/>
          <w:szCs w:val="22"/>
        </w:rPr>
        <w:t xml:space="preserve">Phase 2: EU-Expansion (2027)</w:t>
      </w:r>
    </w:p>
    <w:p>
      <w:pPr>
        <w:pStyle w:val="ListParagraph"/>
        <w:numPr>
          <w:ilvl w:val="0"/>
          <w:numId w:val="2"/>
        </w:numPr>
        <w:spacing w:after="80"/>
      </w:pPr>
      <w:r>
        <w:rPr>
          <w:rFonts w:ascii="Arial" w:cs="Arial" w:eastAsia="Arial" w:hAnsi="Arial"/>
          <w:color w:val="1A1A1A"/>
          <w:sz w:val="22"/>
          <w:szCs w:val="22"/>
        </w:rPr>
        <w:t xml:space="preserve">Erweiterung auf Benelux (Niederlande 52% Digital-First, Belgien 42%)</w:t>
      </w:r>
    </w:p>
    <w:p>
      <w:pPr>
        <w:pStyle w:val="ListParagraph"/>
        <w:numPr>
          <w:ilvl w:val="0"/>
          <w:numId w:val="2"/>
        </w:numPr>
        <w:spacing w:after="80"/>
      </w:pPr>
      <w:r>
        <w:rPr>
          <w:rFonts w:ascii="Arial" w:cs="Arial" w:eastAsia="Arial" w:hAnsi="Arial"/>
          <w:color w:val="1A1A1A"/>
          <w:sz w:val="22"/>
          <w:szCs w:val="22"/>
        </w:rPr>
        <w:t xml:space="preserve">Start im nordischen Raum (Schweden, Dänemark, Norwegen)</w:t>
      </w:r>
    </w:p>
    <w:p>
      <w:pPr>
        <w:pStyle w:val="ListParagraph"/>
        <w:numPr>
          <w:ilvl w:val="0"/>
          <w:numId w:val="2"/>
        </w:numPr>
        <w:spacing w:after="80"/>
      </w:pPr>
      <w:r>
        <w:rPr>
          <w:rFonts w:ascii="Arial" w:cs="Arial" w:eastAsia="Arial" w:hAnsi="Arial"/>
          <w:color w:val="1A1A1A"/>
          <w:sz w:val="22"/>
          <w:szCs w:val="22"/>
        </w:rPr>
        <w:t xml:space="preserve">Gründung von Spanien/Italien Operationen (Mittelmeer-Wachstumsmärkte)</w:t>
      </w:r>
    </w:p>
    <w:p>
      <w:pPr>
        <w:spacing w:after="120"/>
      </w:pPr>
      <w:r>
        <w:rPr>
          <w:rFonts w:ascii="Arial" w:cs="Arial" w:eastAsia="Arial" w:hAnsi="Arial"/>
          <w:color w:val="1A1A1A"/>
          <w:sz w:val="22"/>
          <w:szCs w:val="22"/>
        </w:rPr>
        <w:t xml:space="preserve">Ziel: 30K Benutzer, €340K ARR bis Ende 2027.</w:t>
      </w:r>
    </w:p>
    <w:p>
      <w:pPr>
        <w:spacing w:after="120"/>
      </w:pPr>
      <w:r>
        <w:t xml:space="preserve"/>
      </w:r>
    </w:p>
    <w:p>
      <w:pPr>
        <w:pStyle w:val="Heading3"/>
        <w:spacing w:before="180" w:after="60"/>
      </w:pPr>
      <w:r>
        <w:rPr>
          <w:rFonts w:ascii="Arial" w:cs="Arial" w:eastAsia="Arial" w:hAnsi="Arial"/>
          <w:b/>
          <w:bCs/>
          <w:color w:val="5A6A82"/>
          <w:sz w:val="22"/>
          <w:szCs w:val="22"/>
        </w:rPr>
        <w:t xml:space="preserve">Phase 3: Globale Skalierung (2028+)</w:t>
      </w:r>
    </w:p>
    <w:p>
      <w:pPr>
        <w:pStyle w:val="ListParagraph"/>
        <w:numPr>
          <w:ilvl w:val="0"/>
          <w:numId w:val="2"/>
        </w:numPr>
        <w:spacing w:after="80"/>
      </w:pPr>
      <w:r>
        <w:rPr>
          <w:rFonts w:ascii="Arial" w:cs="Arial" w:eastAsia="Arial" w:hAnsi="Arial"/>
          <w:color w:val="1A1A1A"/>
          <w:sz w:val="22"/>
          <w:szCs w:val="22"/>
        </w:rPr>
        <w:t xml:space="preserve">Markteintritt USA (300M+ Privatanleger, minimale Algo-Einführung)</w:t>
      </w:r>
    </w:p>
    <w:p>
      <w:pPr>
        <w:pStyle w:val="ListParagraph"/>
        <w:numPr>
          <w:ilvl w:val="0"/>
          <w:numId w:val="2"/>
        </w:numPr>
        <w:spacing w:after="80"/>
      </w:pPr>
      <w:r>
        <w:rPr>
          <w:rFonts w:ascii="Arial" w:cs="Arial" w:eastAsia="Arial" w:hAnsi="Arial"/>
          <w:color w:val="1A1A1A"/>
          <w:sz w:val="22"/>
          <w:szCs w:val="22"/>
        </w:rPr>
        <w:t xml:space="preserve">Asiatische Expansion (Singapur, HK, Südkorea)</w:t>
      </w:r>
    </w:p>
    <w:p>
      <w:pPr>
        <w:spacing w:after="120"/>
      </w:pPr>
      <w:r>
        <w:rPr>
          <w:rFonts w:ascii="Arial" w:cs="Arial" w:eastAsia="Arial" w:hAnsi="Arial"/>
          <w:color w:val="1A1A1A"/>
          <w:sz w:val="22"/>
          <w:szCs w:val="22"/>
        </w:rPr>
        <w:t xml:space="preserve">Ziel: 100K+ Benutzer, €1,2M+ ARR bis Ende 2028.</w:t>
      </w:r>
    </w:p>
    <w:p>
      <w:pPr>
        <w:spacing w:after="120"/>
      </w:pPr>
      <w:r>
        <w:t xml:space="preserve"/>
      </w:r>
    </w:p>
    <w:p>
      <w:pPr>
        <w:spacing w:before="300" w:after="300"/>
        <w:jc w:val="center"/>
      </w:pPr>
      <w:r>
        <w:rPr>
          <w:rFonts w:ascii="Arial" w:cs="Arial" w:eastAsia="Arial" w:hAnsi="Arial"/>
          <w:b/>
          <w:bCs/>
          <w:i/>
          <w:iCs/>
          <w:color w:val="5A6A82"/>
          <w:sz w:val="22"/>
          <w:szCs w:val="22"/>
        </w:rPr>
        <w:t xml:space="preserve">— Ende der Marktanalyse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jc w:val="center"/>
    </w:pPr>
    <w:r>
      <w:rPr>
        <w:rFonts w:ascii="Arial" w:cs="Arial" w:eastAsia="Arial" w:hAnsi="Arial"/>
        <w:color w:val="5A6A82"/>
        <w:sz w:val="18"/>
        <w:szCs w:val="18"/>
      </w:rPr>
      <w:t xml:space="preserve">FinPilot Marktanalyse  |  Seite </w:t>
    </w:r>
    <w:r>
      <w:rPr>
        <w:rFonts w:ascii="Arial" w:cs="Arial" w:eastAsia="Arial" w:hAnsi="Arial"/>
        <w:color w:val="5A6A82"/>
        <w:sz w:val="18"/>
        <w:szCs w:val="18"/>
      </w:rPr>
      <w:fldChar w:fldCharType="begin"/>
      <w:instrText xml:space="preserve">PAGE</w:instrText>
      <w:fldChar w:fldCharType="separate"/>
      <w:fldChar w:fldCharType="end"/>
    </w:r>
    <w:r>
      <w:rPr>
        <w:rFonts w:ascii="Arial" w:cs="Arial" w:eastAsia="Arial" w:hAnsi="Arial"/>
        <w:color w:val="5A6A82"/>
        <w:sz w:val="18"/>
        <w:szCs w:val="18"/>
      </w:rPr>
      <w:t xml:space="preserve"> von </w:t>
    </w:r>
    <w:r>
      <w:rPr>
        <w:rFonts w:ascii="Arial" w:cs="Arial" w:eastAsia="Arial" w:hAnsi="Arial"/>
        <w:color w:val="5A6A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5A6A82"/>
        <w:sz w:val="18"/>
        <w:szCs w:val="18"/>
      </w:rPr>
      <w:t xml:space="preserve">FinPilot  |  Marktanalyse  |  Vertraulich</w:t>
    </w:r>
    <w:r>
      <w:rPr>
        <w:rFonts w:ascii="Arial" w:cs="Arial" w:eastAsia="Arial" w:hAnsi="Arial"/>
        <w:color w:val="5A6A82"/>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A6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2026-03-30T16:30:14.870Z</dcterms:created>
  <dcterms:modified xsi:type="dcterms:W3CDTF">2026-03-30T16:30:14.870Z</dcterms:modified>
</cp:coreProperties>
</file>

<file path=docProps/custom.xml><?xml version="1.0" encoding="utf-8"?>
<Properties xmlns="http://schemas.openxmlformats.org/officeDocument/2006/custom-properties" xmlns:vt="http://schemas.openxmlformats.org/officeDocument/2006/docPropsVTypes"/>
</file>