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60"/>
        <w:jc w:val="center"/>
      </w:pPr>
      <w:r>
        <w:rPr>
          <w:rFonts w:ascii="Arial" w:cs="Arial" w:eastAsia="Arial" w:hAnsi="Arial"/>
          <w:b/>
          <w:bCs/>
          <w:color w:val="1B3A6B"/>
          <w:sz w:val="80"/>
          <w:szCs w:val="80"/>
        </w:rPr>
        <w:t xml:space="preserve">FinPilot</w:t>
      </w:r>
    </w:p>
    <w:p>
      <w:pPr>
        <w:spacing w:before="0" w:after="60"/>
        <w:jc w:val="center"/>
      </w:pPr>
      <w:r>
        <w:rPr>
          <w:rFonts w:ascii="Arial" w:cs="Arial" w:eastAsia="Arial" w:hAnsi="Arial"/>
          <w:color w:val="2E5FA3"/>
          <w:sz w:val="34"/>
          <w:szCs w:val="34"/>
        </w:rPr>
        <w:t xml:space="preserve">Pazar Analizi Raporu</w:t>
      </w:r>
    </w:p>
    <w:p>
      <w:pPr>
        <w:pBdr>
          <w:bottom w:val="single" w:color="C8A415" w:sz="12" w:space="6"/>
        </w:pBdr>
        <w:spacing w:before="0" w:after="300"/>
        <w:jc w:val="center"/>
      </w:pPr>
      <w:r>
        <w:rPr>
          <w:rFonts w:ascii="Arial" w:cs="Arial" w:eastAsia="Arial" w:hAnsi="Arial"/>
          <w:b/>
          <w:bCs/>
          <w:color w:val="5A6A82"/>
          <w:sz w:val="30"/>
          <w:szCs w:val="30"/>
        </w:rPr>
        <w:t xml:space="preserve">Stratejik Pazarlamaya Genel Bakış  2026</w:t>
      </w:r>
    </w:p>
    <w:p>
      <w:pPr>
        <w:spacing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shd w:fill="D6E4F7" w:val="clear"/>
            <w:tcMar>
              <w:top w:type="dxa" w:w="300"/>
              <w:left w:type="dxa" w:w="400"/>
              <w:bottom w:type="dxa" w:w="300"/>
              <w:right w:type="dxa" w:w="400"/>
            </w:tcMar>
          </w:tcPr>
          <w:p>
            <w:r>
              <w:rPr>
                <w:rFonts w:ascii="Arial" w:cs="Arial" w:eastAsia="Arial" w:hAnsi="Arial"/>
                <w:b/>
                <w:bCs/>
                <w:color w:val="5A6A82"/>
                <w:sz w:val="20"/>
                <w:szCs w:val="20"/>
              </w:rPr>
              <w:t xml:space="preserve">Belge Türü</w:t>
            </w:r>
          </w:p>
          <w:p>
            <w:r>
              <w:rPr>
                <w:rFonts w:ascii="Arial" w:cs="Arial" w:eastAsia="Arial" w:hAnsi="Arial"/>
                <w:color w:val="1B3A6B"/>
                <w:sz w:val="22"/>
                <w:szCs w:val="22"/>
              </w:rPr>
              <w:t xml:space="preserve">Pazar Analizi (Hibe Başvurusu)</w:t>
            </w:r>
          </w:p>
          <w:p>
            <w:pPr>
              <w:spacing w:after="120"/>
            </w:pPr>
            <w:r>
              <w:t xml:space="preserve"/>
            </w:r>
          </w:p>
          <w:p>
            <w:r>
              <w:rPr>
                <w:rFonts w:ascii="Arial" w:cs="Arial" w:eastAsia="Arial" w:hAnsi="Arial"/>
                <w:b/>
                <w:bCs/>
                <w:color w:val="5A6A82"/>
                <w:sz w:val="20"/>
                <w:szCs w:val="20"/>
              </w:rPr>
              <w:t xml:space="preserve">Sürüm</w:t>
            </w:r>
          </w:p>
          <w:p>
            <w:r>
              <w:rPr>
                <w:rFonts w:ascii="Arial" w:cs="Arial" w:eastAsia="Arial" w:hAnsi="Arial"/>
                <w:color w:val="1B3A6B"/>
                <w:sz w:val="22"/>
                <w:szCs w:val="22"/>
              </w:rPr>
              <w:t xml:space="preserve">1.0  —  Mart 2026</w:t>
            </w:r>
          </w:p>
        </w:tc>
        <w:tc>
          <w:tcPr>
            <w:tcW w:type="dxa" w:w="4513"/>
            <w:tcBorders>
              <w:top w:val="none" w:color="FFFFFF" w:sz="0"/>
              <w:left w:val="none" w:color="FFFFFF" w:sz="0"/>
              <w:bottom w:val="none" w:color="FFFFFF" w:sz="0"/>
              <w:right w:val="none" w:color="FFFFFF" w:sz="0"/>
            </w:tcBorders>
            <w:shd w:fill="F4F6FA" w:val="clear"/>
            <w:tcMar>
              <w:top w:type="dxa" w:w="300"/>
              <w:left w:type="dxa" w:w="400"/>
              <w:bottom w:type="dxa" w:w="300"/>
              <w:right w:type="dxa" w:w="400"/>
            </w:tcMar>
          </w:tcPr>
          <w:p>
            <w:r>
              <w:rPr>
                <w:rFonts w:ascii="Arial" w:cs="Arial" w:eastAsia="Arial" w:hAnsi="Arial"/>
                <w:b/>
                <w:bCs/>
                <w:color w:val="5A6A82"/>
                <w:sz w:val="20"/>
                <w:szCs w:val="20"/>
              </w:rPr>
              <w:t xml:space="preserve">Kapsam</w:t>
            </w:r>
          </w:p>
          <w:p>
            <w:r>
              <w:rPr>
                <w:rFonts w:ascii="Arial" w:cs="Arial" w:eastAsia="Arial" w:hAnsi="Arial"/>
                <w:color w:val="1A1A1A"/>
                <w:sz w:val="20"/>
                <w:szCs w:val="20"/>
              </w:rPr>
              <w:t xml:space="preserve">• Global Algoritmik Ticaret</w:t>
            </w:r>
          </w:p>
          <w:p>
            <w:r>
              <w:rPr>
                <w:rFonts w:ascii="Arial" w:cs="Arial" w:eastAsia="Arial" w:hAnsi="Arial"/>
                <w:color w:val="1A1A1A"/>
                <w:sz w:val="20"/>
                <w:szCs w:val="20"/>
              </w:rPr>
              <w:t xml:space="preserve">• Finansta YZ</w:t>
            </w:r>
          </w:p>
          <w:p>
            <w:r>
              <w:rPr>
                <w:rFonts w:ascii="Arial" w:cs="Arial" w:eastAsia="Arial" w:hAnsi="Arial"/>
                <w:color w:val="1A1A1A"/>
                <w:sz w:val="20"/>
                <w:szCs w:val="20"/>
              </w:rPr>
              <w:t xml:space="preserve">• Avrupa Perakende Yatırım</w:t>
            </w:r>
          </w:p>
          <w:p>
            <w:r>
              <w:rPr>
                <w:rFonts w:ascii="Arial" w:cs="Arial" w:eastAsia="Arial" w:hAnsi="Arial"/>
                <w:color w:val="1A1A1A"/>
                <w:sz w:val="20"/>
                <w:szCs w:val="20"/>
              </w:rPr>
              <w:t xml:space="preserve">• Avusturya İnovasyon Ekosistemi</w:t>
            </w:r>
          </w:p>
        </w:tc>
      </w:tr>
    </w:tbl>
    <w:p>
      <w:pPr>
        <w:spacing w:after="120"/>
      </w:pPr>
      <w:r>
        <w:t xml:space="preserve"/>
      </w:r>
    </w:p>
    <w:p>
      <w:pPr>
        <w:pBdr>
          <w:top w:val="single" w:color="C8A415" w:sz="4" w:space="6"/>
        </w:pBdr>
        <w:spacing w:before="200"/>
        <w:jc w:val="center"/>
      </w:pPr>
      <w:r>
        <w:rPr>
          <w:rFonts w:ascii="Arial" w:cs="Arial" w:eastAsia="Arial" w:hAnsi="Arial"/>
          <w:i/>
          <w:iCs/>
          <w:color w:val="5A6A82"/>
          <w:sz w:val="18"/>
          <w:szCs w:val="18"/>
        </w:rPr>
        <w:t xml:space="preserve">GİZLİ  —  Hibe değerlendiricileri ve yatırımcılar tarafından inceleme amaçlı</w:t>
      </w:r>
    </w:p>
    <w:p>
      <w:r>
        <w:br w:type="page"/>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1. Yönetim Özeti</w:t>
      </w:r>
    </w:p>
    <w:p>
      <w:pPr>
        <w:spacing w:after="120"/>
      </w:pPr>
      <w:r>
        <w:rPr>
          <w:rFonts w:ascii="Arial" w:cs="Arial" w:eastAsia="Arial" w:hAnsi="Arial"/>
          <w:color w:val="1A1A1A"/>
          <w:sz w:val="22"/>
          <w:szCs w:val="22"/>
        </w:rPr>
        <w:t xml:space="preserve">Küresel algoritmic yatırım ve finansta yapay zeka pazarı çok milyarlı bir fırsat sunar. FinPilot, profesyonel araçların demokratikleştirilmesinin perakende yatırım katılımını yeniden biçimlendirdiği, yüksek büyüyen bir segmente konumlandırılmıştır. Bu rapor, küresel pazar koşullarını, bölgesel dinamikleri, rekabet konumlandırmasını ve sürdürülebilir gelir büyümesi için giriş stratejilerini analiz eder.</w:t>
      </w:r>
    </w:p>
    <w:p>
      <w:pPr>
        <w:spacing w:after="120"/>
      </w:pPr>
      <w:r>
        <w:t xml:space="preserve"/>
      </w:r>
    </w:p>
    <w:p>
      <w:pPr>
        <w:pStyle w:val="Heading2"/>
        <w:spacing w:before="240" w:after="80"/>
      </w:pPr>
      <w:r>
        <w:rPr>
          <w:rFonts w:ascii="Arial" w:cs="Arial" w:eastAsia="Arial" w:hAnsi="Arial"/>
          <w:b/>
          <w:bCs/>
          <w:color w:val="2E5FA3"/>
          <w:sz w:val="24"/>
          <w:szCs w:val="24"/>
        </w:rPr>
        <w:t xml:space="preserve">1.1 Pazarlama Fırsatları Özeti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6"/>
        <w:gridCol w:w="2257"/>
      </w:tblGrid>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Global Algo Ticaret Pazarı (2028)</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$31,4 Milyar</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CAGR</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%11,6</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Finansta YZ Pazarı (2030)</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$22,6 Milyar</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CAGR</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%23,4</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AB Perakende Yatırımcıları</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58+ Milyon</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Algo Araç Penetrasyon</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&lt;%2</w:t>
            </w:r>
          </w:p>
        </w:tc>
      </w:tr>
      <w:tr>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Avusturya Digital-First Yatırımcılar</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1,1 Milyon (45%)</w:t>
            </w:r>
          </w:p>
        </w:tc>
        <w:tc>
          <w:tcPr>
            <w:tcW w:type="dxa" w:w="225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vAlign w:val="center"/>
          </w:tcPr>
          <w:p>
            <w:pPr>
              <w:jc w:val="left"/>
            </w:pPr>
            <w:r>
              <w:rPr>
                <w:rFonts w:ascii="Arial" w:cs="Arial" w:eastAsia="Arial" w:hAnsi="Arial"/>
                <w:b/>
                <w:bCs/>
                <w:color w:val="5A6A82"/>
                <w:sz w:val="20"/>
                <w:szCs w:val="20"/>
              </w:rPr>
              <w:t xml:space="preserve">Hedef Pazar Giriş</w:t>
            </w:r>
          </w:p>
        </w:tc>
        <w:tc>
          <w:tcPr>
            <w:tcW w:type="dxa" w:w="2257"/>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1B3A6B"/>
                <w:sz w:val="26"/>
                <w:szCs w:val="26"/>
              </w:rPr>
              <w:t xml:space="preserve">Q2 2026</w:t>
            </w:r>
          </w:p>
        </w:tc>
      </w:tr>
    </w:tbl>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2. Küresel Pazar Boyutu Analizi</w:t>
      </w:r>
    </w:p>
    <w:p>
      <w:pPr>
        <w:pStyle w:val="Heading2"/>
        <w:spacing w:before="240" w:after="80"/>
      </w:pPr>
      <w:r>
        <w:rPr>
          <w:rFonts w:ascii="Arial" w:cs="Arial" w:eastAsia="Arial" w:hAnsi="Arial"/>
          <w:b/>
          <w:bCs/>
          <w:color w:val="2E5FA3"/>
          <w:sz w:val="24"/>
          <w:szCs w:val="24"/>
        </w:rPr>
        <w:t xml:space="preserve">2.1 Algoritmic Ticaret Pazarı</w:t>
      </w:r>
    </w:p>
    <w:p>
      <w:pPr>
        <w:spacing w:after="120"/>
      </w:pPr>
      <w:r>
        <w:rPr>
          <w:rFonts w:ascii="Arial" w:cs="Arial" w:eastAsia="Arial" w:hAnsi="Arial"/>
          <w:color w:val="1A1A1A"/>
          <w:sz w:val="22"/>
          <w:szCs w:val="22"/>
        </w:rPr>
        <w:t xml:space="preserve">Küresel algoritmic ticaret pazarı 2028'e kadar 31,4 milyar dolara ulaşması öngörülüyor ve %11,6 bileşik yıllık büyüme oranı (CAGR) ile genişliyor. Bu büyüme şunlar tarafından yönlendiriliyor:</w:t>
      </w:r>
    </w:p>
    <w:p>
      <w:pPr>
        <w:pStyle w:val="ListParagraph"/>
        <w:numPr>
          <w:ilvl w:val="0"/>
          <w:numId w:val="2"/>
        </w:numPr>
        <w:spacing w:after="80"/>
      </w:pPr>
      <w:r>
        <w:rPr>
          <w:rFonts w:ascii="Arial" w:cs="Arial" w:eastAsia="Arial" w:hAnsi="Arial"/>
          <w:color w:val="1A1A1A"/>
          <w:sz w:val="22"/>
          <w:szCs w:val="22"/>
        </w:rPr>
        <w:t xml:space="preserve">Perakende yatırımcı katılımının artması: Perakende artık ABD hisse senedi ticaret hacminin %25-30'unu oluşturuyor</w:t>
      </w:r>
    </w:p>
    <w:p>
      <w:pPr>
        <w:pStyle w:val="ListParagraph"/>
        <w:numPr>
          <w:ilvl w:val="0"/>
          <w:numId w:val="2"/>
        </w:numPr>
        <w:spacing w:after="80"/>
      </w:pPr>
      <w:r>
        <w:rPr>
          <w:rFonts w:ascii="Arial" w:cs="Arial" w:eastAsia="Arial" w:hAnsi="Arial"/>
          <w:color w:val="1A1A1A"/>
          <w:sz w:val="22"/>
          <w:szCs w:val="22"/>
        </w:rPr>
        <w:t xml:space="preserve">Bilgi işlem altyapısı maliyetlerinin azalması sofistike analizleri daha düşük maliyetlerde mümkün kılıyor</w:t>
      </w:r>
    </w:p>
    <w:p>
      <w:pPr>
        <w:pStyle w:val="ListParagraph"/>
        <w:numPr>
          <w:ilvl w:val="0"/>
          <w:numId w:val="2"/>
        </w:numPr>
        <w:spacing w:after="80"/>
      </w:pPr>
      <w:r>
        <w:rPr>
          <w:rFonts w:ascii="Arial" w:cs="Arial" w:eastAsia="Arial" w:hAnsi="Arial"/>
          <w:color w:val="1A1A1A"/>
          <w:sz w:val="22"/>
          <w:szCs w:val="22"/>
        </w:rPr>
        <w:t xml:space="preserve">Avrupa'daki düzenleyici rüzgarlar (MiFID II) şeffaflık ve teknolojik benimsemeyi hızlandırıyor</w:t>
      </w:r>
    </w:p>
    <w:p>
      <w:pPr>
        <w:pStyle w:val="ListParagraph"/>
        <w:numPr>
          <w:ilvl w:val="0"/>
          <w:numId w:val="2"/>
        </w:numPr>
        <w:spacing w:after="80"/>
      </w:pPr>
      <w:r>
        <w:rPr>
          <w:rFonts w:ascii="Arial" w:cs="Arial" w:eastAsia="Arial" w:hAnsi="Arial"/>
          <w:color w:val="1A1A1A"/>
          <w:sz w:val="22"/>
          <w:szCs w:val="22"/>
        </w:rPr>
        <w:t xml:space="preserve">Kurumsal sermaye algoritmik stratejileri varlık sınıfları (hisse senetleri, kripto, forex) arasında konuşlandırıyor</w:t>
      </w:r>
    </w:p>
    <w:p>
      <w:pPr>
        <w:spacing w:after="120"/>
      </w:pPr>
      <w:r>
        <w:t xml:space="preserve"/>
      </w:r>
    </w:p>
    <w:p>
      <w:pPr>
        <w:pStyle w:val="Heading2"/>
        <w:spacing w:before="240" w:after="80"/>
      </w:pPr>
      <w:r>
        <w:rPr>
          <w:rFonts w:ascii="Arial" w:cs="Arial" w:eastAsia="Arial" w:hAnsi="Arial"/>
          <w:b/>
          <w:bCs/>
          <w:color w:val="2E5FA3"/>
          <w:sz w:val="24"/>
          <w:szCs w:val="24"/>
        </w:rPr>
        <w:t xml:space="preserve">2.2 Finansta Yapay Zeka Pazarı</w:t>
      </w:r>
    </w:p>
    <w:p>
      <w:pPr>
        <w:spacing w:after="120"/>
      </w:pPr>
      <w:r>
        <w:rPr>
          <w:rFonts w:ascii="Arial" w:cs="Arial" w:eastAsia="Arial" w:hAnsi="Arial"/>
          <w:color w:val="1A1A1A"/>
          <w:sz w:val="22"/>
          <w:szCs w:val="22"/>
        </w:rPr>
        <w:t xml:space="preserve">YZ tarafından yönlendirilen finansal hizmetler en hızlı büyüyen segmenti temsil eder, pazar 2030'a kadar 22,6 milyar dolara ulaşması %23,4 CAGR'de öngörülüyor. Önemli uygulamalar şunları içerir:</w:t>
      </w:r>
    </w:p>
    <w:p>
      <w:pPr>
        <w:pStyle w:val="ListParagraph"/>
        <w:numPr>
          <w:ilvl w:val="0"/>
          <w:numId w:val="2"/>
        </w:numPr>
        <w:spacing w:after="80"/>
      </w:pPr>
      <w:r>
        <w:rPr>
          <w:rFonts w:ascii="Arial" w:cs="Arial" w:eastAsia="Arial" w:hAnsi="Arial"/>
          <w:color w:val="1A1A1A"/>
          <w:sz w:val="22"/>
          <w:szCs w:val="22"/>
        </w:rPr>
        <w:t xml:space="preserve">Tahmine dayalı analitik ve risk modellemesi</w:t>
      </w:r>
    </w:p>
    <w:p>
      <w:pPr>
        <w:pStyle w:val="ListParagraph"/>
        <w:numPr>
          <w:ilvl w:val="0"/>
          <w:numId w:val="2"/>
        </w:numPr>
        <w:spacing w:after="80"/>
      </w:pPr>
      <w:r>
        <w:rPr>
          <w:rFonts w:ascii="Arial" w:cs="Arial" w:eastAsia="Arial" w:hAnsi="Arial"/>
          <w:color w:val="1A1A1A"/>
          <w:sz w:val="22"/>
          <w:szCs w:val="22"/>
        </w:rPr>
        <w:t xml:space="preserve">Otomatik portföy optimizasyonu</w:t>
      </w:r>
    </w:p>
    <w:p>
      <w:pPr>
        <w:pStyle w:val="ListParagraph"/>
        <w:numPr>
          <w:ilvl w:val="0"/>
          <w:numId w:val="2"/>
        </w:numPr>
        <w:spacing w:after="80"/>
      </w:pPr>
      <w:r>
        <w:rPr>
          <w:rFonts w:ascii="Arial" w:cs="Arial" w:eastAsia="Arial" w:hAnsi="Arial"/>
          <w:color w:val="1A1A1A"/>
          <w:sz w:val="22"/>
          <w:szCs w:val="22"/>
        </w:rPr>
        <w:t xml:space="preserve">Duyarlılık analizi ve haber madenciliği</w:t>
      </w:r>
    </w:p>
    <w:p>
      <w:pPr>
        <w:pStyle w:val="ListParagraph"/>
        <w:numPr>
          <w:ilvl w:val="0"/>
          <w:numId w:val="2"/>
        </w:numPr>
        <w:spacing w:after="80"/>
      </w:pPr>
      <w:r>
        <w:rPr>
          <w:rFonts w:ascii="Arial" w:cs="Arial" w:eastAsia="Arial" w:hAnsi="Arial"/>
          <w:color w:val="1A1A1A"/>
          <w:sz w:val="22"/>
          <w:szCs w:val="22"/>
        </w:rPr>
        <w:t xml:space="preserve">LLM tabanlı finansal danışmanlık</w:t>
      </w:r>
    </w:p>
    <w:p>
      <w:pPr>
        <w:pStyle w:val="ListParagraph"/>
        <w:numPr>
          <w:ilvl w:val="0"/>
          <w:numId w:val="2"/>
        </w:numPr>
        <w:spacing w:after="80"/>
      </w:pPr>
      <w:r>
        <w:rPr>
          <w:rFonts w:ascii="Arial" w:cs="Arial" w:eastAsia="Arial" w:hAnsi="Arial"/>
          <w:color w:val="1A1A1A"/>
          <w:sz w:val="22"/>
          <w:szCs w:val="22"/>
        </w:rPr>
        <w:t xml:space="preserve">Dolandırıcılık tespiti ve uyum otomasyonu</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3. Avrupa Pazar Analizi</w:t>
      </w:r>
    </w:p>
    <w:p>
      <w:pPr>
        <w:pStyle w:val="Heading2"/>
        <w:spacing w:before="240" w:after="80"/>
      </w:pPr>
      <w:r>
        <w:rPr>
          <w:rFonts w:ascii="Arial" w:cs="Arial" w:eastAsia="Arial" w:hAnsi="Arial"/>
          <w:b/>
          <w:bCs/>
          <w:color w:val="2E5FA3"/>
          <w:sz w:val="24"/>
          <w:szCs w:val="24"/>
        </w:rPr>
        <w:t xml:space="preserve">3.1 Perakende Yatırımcı Tabanı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28"/>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Bölge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Perakende Yatırımcılar</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Digital-First %</w:t>
            </w:r>
          </w:p>
        </w:tc>
        <w:tc>
          <w:tcPr>
            <w:tcW w:type="dxa" w:w="1828"/>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Algo Araç Kullanımı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Avrupa (Toplam)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58+ Milyon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38%</w:t>
            </w:r>
          </w:p>
        </w:tc>
        <w:tc>
          <w:tcPr>
            <w:tcW w:type="dxa" w:w="18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&lt;%2</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Almanya</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12 Milyon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40%</w:t>
            </w:r>
          </w:p>
        </w:tc>
        <w:tc>
          <w:tcPr>
            <w:tcW w:type="dxa" w:w="18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Avusturya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2,5 Milyon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45%</w:t>
            </w:r>
          </w:p>
        </w:tc>
        <w:tc>
          <w:tcPr>
            <w:tcW w:type="dxa" w:w="18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%0,8</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Fransa</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10,5 Milyon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35%</w:t>
            </w:r>
          </w:p>
        </w:tc>
        <w:tc>
          <w:tcPr>
            <w:tcW w:type="dxa" w:w="18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İtalya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8,8 Milyon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32%</w:t>
            </w:r>
          </w:p>
        </w:tc>
        <w:tc>
          <w:tcPr>
            <w:tcW w:type="dxa" w:w="18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%0,6</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Hollanda</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3,2 Milyon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52%</w:t>
            </w:r>
          </w:p>
        </w:tc>
        <w:tc>
          <w:tcPr>
            <w:tcW w:type="dxa" w:w="18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Polonya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5,6 Milyon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33%</w:t>
            </w:r>
          </w:p>
        </w:tc>
        <w:tc>
          <w:tcPr>
            <w:tcW w:type="dxa" w:w="18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%0,5</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3.2 AB Mevzuat Peyzaj</w:t>
      </w:r>
    </w:p>
    <w:p>
      <w:pPr>
        <w:spacing w:after="120"/>
      </w:pPr>
      <w:r>
        <w:rPr>
          <w:rFonts w:ascii="Arial" w:cs="Arial" w:eastAsia="Arial" w:hAnsi="Arial"/>
          <w:color w:val="1A1A1A"/>
          <w:sz w:val="22"/>
          <w:szCs w:val="22"/>
        </w:rPr>
        <w:t xml:space="preserve">MiFID II ve MiFID III düzenlemeleri hem bariyerler hem de fırsatlar yaratıyor:</w:t>
      </w:r>
    </w:p>
    <w:p>
      <w:pPr>
        <w:pStyle w:val="ListParagraph"/>
        <w:numPr>
          <w:ilvl w:val="0"/>
          <w:numId w:val="2"/>
        </w:numPr>
        <w:spacing w:after="80"/>
      </w:pPr>
      <w:r>
        <w:rPr>
          <w:rFonts w:ascii="Arial" w:cs="Arial" w:eastAsia="Arial" w:hAnsi="Arial"/>
          <w:color w:val="1A1A1A"/>
          <w:sz w:val="22"/>
          <w:szCs w:val="22"/>
        </w:rPr>
        <w:t xml:space="preserve">Bariyerler: Katı pozisyon limitleri, kısa satış kısıtlamaları ve işlem maliyetleri perakende algo benimsesin engelleiyor</w:t>
      </w:r>
    </w:p>
    <w:p>
      <w:pPr>
        <w:pStyle w:val="ListParagraph"/>
        <w:numPr>
          <w:ilvl w:val="0"/>
          <w:numId w:val="2"/>
        </w:numPr>
        <w:spacing w:after="80"/>
      </w:pPr>
      <w:r>
        <w:rPr>
          <w:rFonts w:ascii="Arial" w:cs="Arial" w:eastAsia="Arial" w:hAnsi="Arial"/>
          <w:color w:val="1A1A1A"/>
          <w:sz w:val="22"/>
          <w:szCs w:val="22"/>
        </w:rPr>
        <w:t xml:space="preserve">Fırsatlar: Mevzuat netliği ve yatırımcı koruma çerçeveleri kurumsal taşınımı uyumlu perakende platformlarına hızlandırıyor</w:t>
      </w:r>
    </w:p>
    <w:p>
      <w:pPr>
        <w:pStyle w:val="ListParagraph"/>
        <w:numPr>
          <w:ilvl w:val="0"/>
          <w:numId w:val="2"/>
        </w:numPr>
        <w:spacing w:after="80"/>
      </w:pPr>
      <w:r>
        <w:rPr>
          <w:rFonts w:ascii="Arial" w:cs="Arial" w:eastAsia="Arial" w:hAnsi="Arial"/>
          <w:color w:val="1A1A1A"/>
          <w:sz w:val="22"/>
          <w:szCs w:val="22"/>
        </w:rPr>
        <w:t xml:space="preserve">Rüzgarı: Açık finans direktifleri (PSD2, FAPI) üçüncü taraf veri toplamasını ve API erişimini sağlıyor</w:t>
      </w:r>
    </w:p>
    <w:p>
      <w:pPr>
        <w:spacing w:after="120"/>
      </w:pPr>
      <w:r>
        <w:t xml:space="preserve"/>
      </w:r>
    </w:p>
    <w:p>
      <w:pPr>
        <w:pStyle w:val="Heading2"/>
        <w:spacing w:before="240" w:after="80"/>
      </w:pPr>
      <w:r>
        <w:rPr>
          <w:rFonts w:ascii="Arial" w:cs="Arial" w:eastAsia="Arial" w:hAnsi="Arial"/>
          <w:b/>
          <w:bCs/>
          <w:color w:val="2E5FA3"/>
          <w:sz w:val="24"/>
          <w:szCs w:val="24"/>
        </w:rPr>
        <w:t xml:space="preserve">3.3 Avrupa'da Rekabetçi Konumlandırma</w:t>
      </w:r>
    </w:p>
    <w:p>
      <w:pPr>
        <w:spacing w:after="120"/>
      </w:pPr>
      <w:r>
        <w:rPr>
          <w:rFonts w:ascii="Arial" w:cs="Arial" w:eastAsia="Arial" w:hAnsi="Arial"/>
          <w:color w:val="1A1A1A"/>
          <w:sz w:val="22"/>
          <w:szCs w:val="22"/>
        </w:rPr>
        <w:t xml:space="preserve">Şu anda Avrupa'da algoritmic ticaret araçları şunlar tarafından yönetilmektedir:</w:t>
      </w:r>
    </w:p>
    <w:p>
      <w:pPr>
        <w:pStyle w:val="ListParagraph"/>
        <w:numPr>
          <w:ilvl w:val="0"/>
          <w:numId w:val="2"/>
        </w:numPr>
        <w:spacing w:after="80"/>
      </w:pPr>
      <w:r>
        <w:rPr>
          <w:rFonts w:ascii="Arial" w:cs="Arial" w:eastAsia="Arial" w:hAnsi="Arial"/>
          <w:color w:val="1A1A1A"/>
          <w:sz w:val="22"/>
          <w:szCs w:val="22"/>
        </w:rPr>
        <w:t xml:space="preserve">Yüksek maliyetli kurumsal çözümler: Bloomberg Terminal (€25K/yıl), FactSet (€30K/yıl)</w:t>
      </w:r>
    </w:p>
    <w:p>
      <w:pPr>
        <w:pStyle w:val="ListParagraph"/>
        <w:numPr>
          <w:ilvl w:val="0"/>
          <w:numId w:val="2"/>
        </w:numPr>
        <w:spacing w:after="80"/>
      </w:pPr>
      <w:r>
        <w:rPr>
          <w:rFonts w:ascii="Arial" w:cs="Arial" w:eastAsia="Arial" w:hAnsi="Arial"/>
          <w:color w:val="1A1A1A"/>
          <w:sz w:val="22"/>
          <w:szCs w:val="22"/>
        </w:rPr>
        <w:t xml:space="preserve">Developer platformları: QuantConnect (€200/ay), Zipline (açık kaynak)</w:t>
      </w:r>
    </w:p>
    <w:p>
      <w:pPr>
        <w:pStyle w:val="ListParagraph"/>
        <w:numPr>
          <w:ilvl w:val="0"/>
          <w:numId w:val="2"/>
        </w:numPr>
        <w:spacing w:after="80"/>
      </w:pPr>
      <w:r>
        <w:rPr>
          <w:rFonts w:ascii="Arial" w:cs="Arial" w:eastAsia="Arial" w:hAnsi="Arial"/>
          <w:color w:val="1A1A1A"/>
          <w:sz w:val="22"/>
          <w:szCs w:val="22"/>
        </w:rPr>
        <w:t xml:space="preserve">Sınırlı araçlara sahip aracılar: Interactive Brokers, Degiro, Saxo Bank</w:t>
      </w:r>
    </w:p>
    <w:p>
      <w:pPr>
        <w:spacing w:after="120"/>
      </w:pPr>
      <w:r>
        <w:rPr>
          <w:rFonts w:ascii="Arial" w:cs="Arial" w:eastAsia="Arial" w:hAnsi="Arial"/>
          <w:color w:val="1A1A1A"/>
          <w:sz w:val="22"/>
          <w:szCs w:val="22"/>
        </w:rPr>
        <w:t xml:space="preserve">Hiçbir yerleşik Avrupa oyuncu FinPilot kombinasyonunu sunmuyor: DRL ajanları + LLM sentezi + tüketici fiyatlandırması (&lt;€100/ay) + kurumsal risk yönetimi.</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4. Avusturya Pazarı Derin Dalış</w:t>
      </w:r>
    </w:p>
    <w:p>
      <w:pPr>
        <w:pStyle w:val="Heading2"/>
        <w:spacing w:before="240" w:after="80"/>
      </w:pPr>
      <w:r>
        <w:rPr>
          <w:rFonts w:ascii="Arial" w:cs="Arial" w:eastAsia="Arial" w:hAnsi="Arial"/>
          <w:b/>
          <w:bCs/>
          <w:color w:val="2E5FA3"/>
          <w:sz w:val="24"/>
          <w:szCs w:val="24"/>
        </w:rPr>
        <w:t xml:space="preserve">4.1 Avusturya Perakende Yatırım Pazarı</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2028"/>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Metrik</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2024 Değeri</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Büyüme Oranı</w:t>
            </w:r>
          </w:p>
        </w:tc>
        <w:tc>
          <w:tcPr>
            <w:tcW w:type="dxa" w:w="2028"/>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2026 Tahmini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Perakende Yatırımcılar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2,5 Milyon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+%4,2 YoY</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2,7 Milyon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Digital-First Yatırımcılar</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1,1 Milyon</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+%8,5 YoY</w:t>
            </w:r>
          </w:p>
        </w:tc>
        <w:tc>
          <w:tcPr>
            <w:tcW w:type="dxa" w:w="20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1,4 Milyon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Ort. Kripto Varlıkları</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Portföyün %12'si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+%15 YoY</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Portföyün %18'i</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ETF/Endeks Fonu Benimseme</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%35</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+%6 YoY</w:t>
            </w:r>
          </w:p>
        </w:tc>
        <w:tc>
          <w:tcPr>
            <w:tcW w:type="dxa" w:w="20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%41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Aktif Tüccarlar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180.000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+%7,3 YoY</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215.000</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4.2 Avusturya Startup Ekosistem Güçleri</w:t>
      </w:r>
    </w:p>
    <w:p>
      <w:pPr>
        <w:pStyle w:val="ListParagraph"/>
        <w:numPr>
          <w:ilvl w:val="0"/>
          <w:numId w:val="2"/>
        </w:numPr>
        <w:spacing w:after="80"/>
      </w:pPr>
      <w:r>
        <w:rPr>
          <w:rFonts w:ascii="Arial" w:cs="Arial" w:eastAsia="Arial" w:hAnsi="Arial"/>
          <w:color w:val="1A1A1A"/>
          <w:sz w:val="22"/>
          <w:szCs w:val="22"/>
        </w:rPr>
        <w:t xml:space="preserve">Güçlü fintech hub'ları: Viyana, Graz, Linz 200+ fintech şirketi barındırıyor</w:t>
      </w:r>
    </w:p>
    <w:p>
      <w:pPr>
        <w:pStyle w:val="ListParagraph"/>
        <w:numPr>
          <w:ilvl w:val="0"/>
          <w:numId w:val="2"/>
        </w:numPr>
        <w:spacing w:after="80"/>
      </w:pPr>
      <w:r>
        <w:rPr>
          <w:rFonts w:ascii="Arial" w:cs="Arial" w:eastAsia="Arial" w:hAnsi="Arial"/>
          <w:color w:val="1A1A1A"/>
          <w:sz w:val="22"/>
          <w:szCs w:val="22"/>
        </w:rPr>
        <w:t xml:space="preserve">Hükümet desteği: aws Gründungsfonds, FFG finans, €500K+ mevcutiyetli EIC programları</w:t>
      </w:r>
    </w:p>
    <w:p>
      <w:pPr>
        <w:pStyle w:val="ListParagraph"/>
        <w:numPr>
          <w:ilvl w:val="0"/>
          <w:numId w:val="2"/>
        </w:numPr>
        <w:spacing w:after="80"/>
      </w:pPr>
      <w:r>
        <w:rPr>
          <w:rFonts w:ascii="Arial" w:cs="Arial" w:eastAsia="Arial" w:hAnsi="Arial"/>
          <w:color w:val="1A1A1A"/>
          <w:sz w:val="22"/>
          <w:szCs w:val="22"/>
        </w:rPr>
        <w:t xml:space="preserve">Teknoloji yetenekleri: Avusturya finans/ML uzmanlığı olan 15.000+ yazılım mühendisini barındırıyor</w:t>
      </w:r>
    </w:p>
    <w:p>
      <w:pPr>
        <w:pStyle w:val="ListParagraph"/>
        <w:numPr>
          <w:ilvl w:val="0"/>
          <w:numId w:val="2"/>
        </w:numPr>
        <w:spacing w:after="80"/>
      </w:pPr>
      <w:r>
        <w:rPr>
          <w:rFonts w:ascii="Arial" w:cs="Arial" w:eastAsia="Arial" w:hAnsi="Arial"/>
          <w:color w:val="1A1A1A"/>
          <w:sz w:val="22"/>
          <w:szCs w:val="22"/>
        </w:rPr>
        <w:t xml:space="preserve">Stratejik konum: Alman pazarı ile Doğu Avrupa arasında köprü</w:t>
      </w:r>
    </w:p>
    <w:p>
      <w:pPr>
        <w:spacing w:after="120"/>
      </w:pPr>
      <w:r>
        <w:t xml:space="preserve"/>
      </w:r>
    </w:p>
    <w:p>
      <w:pPr>
        <w:pStyle w:val="Heading2"/>
        <w:spacing w:before="240" w:after="80"/>
      </w:pPr>
      <w:r>
        <w:rPr>
          <w:rFonts w:ascii="Arial" w:cs="Arial" w:eastAsia="Arial" w:hAnsi="Arial"/>
          <w:b/>
          <w:bCs/>
          <w:color w:val="2E5FA3"/>
          <w:sz w:val="24"/>
          <w:szCs w:val="24"/>
        </w:rPr>
        <w:t xml:space="preserve">4.3 Niederösterreich Bölgesel Pazarı</w:t>
      </w:r>
    </w:p>
    <w:p>
      <w:pPr>
        <w:spacing w:after="120"/>
      </w:pPr>
      <w:r>
        <w:rPr>
          <w:rFonts w:ascii="Arial" w:cs="Arial" w:eastAsia="Arial" w:hAnsi="Arial"/>
          <w:color w:val="1A1A1A"/>
          <w:sz w:val="22"/>
          <w:szCs w:val="22"/>
        </w:rPr>
        <w:t xml:space="preserve">Gänserndorf şunlara erişim sağlıyor:</w:t>
      </w:r>
    </w:p>
    <w:p>
      <w:pPr>
        <w:pStyle w:val="ListParagraph"/>
        <w:numPr>
          <w:ilvl w:val="0"/>
          <w:numId w:val="2"/>
        </w:numPr>
        <w:spacing w:after="80"/>
      </w:pPr>
      <w:r>
        <w:rPr>
          <w:rFonts w:ascii="Arial" w:cs="Arial" w:eastAsia="Arial" w:hAnsi="Arial"/>
          <w:color w:val="1A1A1A"/>
          <w:sz w:val="22"/>
          <w:szCs w:val="22"/>
        </w:rPr>
        <w:t xml:space="preserve">Niederösterreich teknoloji kümesi 50+ aktif startup barındırıyor</w:t>
      </w:r>
    </w:p>
    <w:p>
      <w:pPr>
        <w:pStyle w:val="ListParagraph"/>
        <w:numPr>
          <w:ilvl w:val="0"/>
          <w:numId w:val="2"/>
        </w:numPr>
        <w:spacing w:after="80"/>
      </w:pPr>
      <w:r>
        <w:rPr>
          <w:rFonts w:ascii="Arial" w:cs="Arial" w:eastAsia="Arial" w:hAnsi="Arial"/>
          <w:color w:val="1A1A1A"/>
          <w:sz w:val="22"/>
          <w:szCs w:val="22"/>
        </w:rPr>
        <w:t xml:space="preserve">Viyana finansal altyapısına yakınlık</w:t>
      </w:r>
    </w:p>
    <w:p>
      <w:pPr>
        <w:pStyle w:val="ListParagraph"/>
        <w:numPr>
          <w:ilvl w:val="0"/>
          <w:numId w:val="2"/>
        </w:numPr>
        <w:spacing w:after="80"/>
      </w:pPr>
      <w:r>
        <w:rPr>
          <w:rFonts w:ascii="Arial" w:cs="Arial" w:eastAsia="Arial" w:hAnsi="Arial"/>
          <w:color w:val="1A1A1A"/>
          <w:sz w:val="22"/>
          <w:szCs w:val="22"/>
        </w:rPr>
        <w:t xml:space="preserve">Avusturya risk sermayesine erişim (Speedinvest, Brainforce, €20B+ AUM'li VC'ler)</w:t>
      </w:r>
    </w:p>
    <w:p>
      <w:pPr>
        <w:pStyle w:val="ListParagraph"/>
        <w:numPr>
          <w:ilvl w:val="0"/>
          <w:numId w:val="2"/>
        </w:numPr>
        <w:spacing w:after="80"/>
      </w:pPr>
      <w:r>
        <w:rPr>
          <w:rFonts w:ascii="Arial" w:cs="Arial" w:eastAsia="Arial" w:hAnsi="Arial"/>
          <w:color w:val="1A1A1A"/>
          <w:sz w:val="22"/>
          <w:szCs w:val="22"/>
        </w:rPr>
        <w:t xml:space="preserve">Bölgesel iş inkübatörleri ve inovasyon merkezleri</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5. Müşteri Segmentasyonu</w:t>
      </w:r>
    </w:p>
    <w:p>
      <w:pPr>
        <w:pStyle w:val="Heading2"/>
        <w:spacing w:before="240" w:after="80"/>
      </w:pPr>
      <w:r>
        <w:rPr>
          <w:rFonts w:ascii="Arial" w:cs="Arial" w:eastAsia="Arial" w:hAnsi="Arial"/>
          <w:b/>
          <w:bCs/>
          <w:color w:val="2E5FA3"/>
          <w:sz w:val="24"/>
          <w:szCs w:val="24"/>
        </w:rPr>
        <w:t xml:space="preserve">5.1 Adreslenebilir Müşteri Segmentleri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800"/>
        <w:gridCol w:w="2028"/>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Segment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Boyut (AB)</w:t>
            </w:r>
          </w:p>
        </w:tc>
        <w:tc>
          <w:tcPr>
            <w:tcW w:type="dxa" w:w="18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ARPU</w:t>
            </w:r>
          </w:p>
        </w:tc>
        <w:tc>
          <w:tcPr>
            <w:tcW w:type="dxa" w:w="2028"/>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Kullanım Durumu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Perakende Yatırımcılar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500K-1M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€29-99/ay</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Kişisel portföy optimizasyonu</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Küçük Fonlar (&lt;€100M AUM)</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2.500-5K</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€5K-20K/ay</w:t>
            </w:r>
          </w:p>
        </w:tc>
        <w:tc>
          <w:tcPr>
            <w:tcW w:type="dxa" w:w="20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Algo sinyal üretimi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Fintech Geliştiricileri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5K-10K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€49/ay API</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Veri entegrasyonu, stratejiler</w:t>
            </w:r>
          </w:p>
        </w:tc>
      </w:tr>
      <w:tr>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Family Offices</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1K-2K</w:t>
            </w:r>
          </w:p>
        </w:tc>
        <w:tc>
          <w:tcPr>
            <w:tcW w:type="dxa" w:w="18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€50K+/ay white-label</w:t>
            </w:r>
          </w:p>
        </w:tc>
        <w:tc>
          <w:tcPr>
            <w:tcW w:type="dxa" w:w="20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Özel algoritma platformları</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Mali Danışmanlar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10K-15K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€99/ay pro</w:t>
            </w:r>
          </w:p>
        </w:tc>
        <w:tc>
          <w:tcPr>
            <w:tcW w:type="dxa" w:w="20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Müşteri portföy önerileri</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5.2 Segmente Göre Değer Önerisi</w:t>
      </w:r>
    </w:p>
    <w:p>
      <w:pPr>
        <w:pStyle w:val="Heading3"/>
        <w:spacing w:before="180" w:after="60"/>
      </w:pPr>
      <w:r>
        <w:rPr>
          <w:rFonts w:ascii="Arial" w:cs="Arial" w:eastAsia="Arial" w:hAnsi="Arial"/>
          <w:b/>
          <w:bCs/>
          <w:color w:val="5A6A82"/>
          <w:sz w:val="22"/>
          <w:szCs w:val="22"/>
        </w:rPr>
        <w:t xml:space="preserve">Perakende Yatırımcılar</w:t>
      </w:r>
    </w:p>
    <w:p>
      <w:pPr>
        <w:pStyle w:val="ListParagraph"/>
        <w:numPr>
          <w:ilvl w:val="0"/>
          <w:numId w:val="2"/>
        </w:numPr>
        <w:spacing w:after="80"/>
      </w:pPr>
      <w:r>
        <w:rPr>
          <w:rFonts w:ascii="Arial" w:cs="Arial" w:eastAsia="Arial" w:hAnsi="Arial"/>
          <w:color w:val="1A1A1A"/>
          <w:sz w:val="22"/>
          <w:szCs w:val="22"/>
        </w:rPr>
        <w:t xml:space="preserve">Maliyet tasarrufu: Bloomberg Terminal'den %95 daha ucuz (€29 vs €2.083/ay)</w:t>
      </w:r>
    </w:p>
    <w:p>
      <w:pPr>
        <w:pStyle w:val="ListParagraph"/>
        <w:numPr>
          <w:ilvl w:val="0"/>
          <w:numId w:val="2"/>
        </w:numPr>
        <w:spacing w:after="80"/>
      </w:pPr>
      <w:r>
        <w:rPr>
          <w:rFonts w:ascii="Arial" w:cs="Arial" w:eastAsia="Arial" w:hAnsi="Arial"/>
          <w:color w:val="1A1A1A"/>
          <w:sz w:val="22"/>
          <w:szCs w:val="22"/>
        </w:rPr>
        <w:t xml:space="preserve">Basitlik: Kodlama gerekmez; pano tabanlı analiz</w:t>
      </w:r>
    </w:p>
    <w:p>
      <w:pPr>
        <w:pStyle w:val="ListParagraph"/>
        <w:numPr>
          <w:ilvl w:val="0"/>
          <w:numId w:val="2"/>
        </w:numPr>
        <w:spacing w:after="80"/>
      </w:pPr>
      <w:r>
        <w:rPr>
          <w:rFonts w:ascii="Arial" w:cs="Arial" w:eastAsia="Arial" w:hAnsi="Arial"/>
          <w:color w:val="1A1A1A"/>
          <w:sz w:val="22"/>
          <w:szCs w:val="22"/>
        </w:rPr>
        <w:t xml:space="preserve">Erişilebilirlik: Mobil portföy izleme uygulaması</w:t>
      </w:r>
    </w:p>
    <w:p>
      <w:pPr>
        <w:spacing w:after="120"/>
      </w:pPr>
      <w:r>
        <w:t xml:space="preserve"/>
      </w:r>
    </w:p>
    <w:p>
      <w:pPr>
        <w:pStyle w:val="Heading3"/>
        <w:spacing w:before="180" w:after="60"/>
      </w:pPr>
      <w:r>
        <w:rPr>
          <w:rFonts w:ascii="Arial" w:cs="Arial" w:eastAsia="Arial" w:hAnsi="Arial"/>
          <w:b/>
          <w:bCs/>
          <w:color w:val="5A6A82"/>
          <w:sz w:val="22"/>
          <w:szCs w:val="22"/>
        </w:rPr>
        <w:t xml:space="preserve">Küçük Fonlar &amp; Varlık Yöneticileri</w:t>
      </w:r>
    </w:p>
    <w:p>
      <w:pPr>
        <w:pStyle w:val="ListParagraph"/>
        <w:numPr>
          <w:ilvl w:val="0"/>
          <w:numId w:val="2"/>
        </w:numPr>
        <w:spacing w:after="80"/>
      </w:pPr>
      <w:r>
        <w:rPr>
          <w:rFonts w:ascii="Arial" w:cs="Arial" w:eastAsia="Arial" w:hAnsi="Arial"/>
          <w:color w:val="1A1A1A"/>
          <w:sz w:val="22"/>
          <w:szCs w:val="22"/>
        </w:rPr>
        <w:t xml:space="preserve">Kurumsal özellikler: Pozisyon boyutlandırması, kaldıraç kontrolleri, risk limitleri</w:t>
      </w:r>
    </w:p>
    <w:p>
      <w:pPr>
        <w:pStyle w:val="ListParagraph"/>
        <w:numPr>
          <w:ilvl w:val="0"/>
          <w:numId w:val="2"/>
        </w:numPr>
        <w:spacing w:after="80"/>
      </w:pPr>
      <w:r>
        <w:rPr>
          <w:rFonts w:ascii="Arial" w:cs="Arial" w:eastAsia="Arial" w:hAnsi="Arial"/>
          <w:color w:val="1A1A1A"/>
          <w:sz w:val="22"/>
          <w:szCs w:val="22"/>
        </w:rPr>
        <w:t xml:space="preserve">Özelleştirme: Markalı çözümler için white-label API'ler</w:t>
      </w:r>
    </w:p>
    <w:p>
      <w:pPr>
        <w:pStyle w:val="ListParagraph"/>
        <w:numPr>
          <w:ilvl w:val="0"/>
          <w:numId w:val="2"/>
        </w:numPr>
        <w:spacing w:after="80"/>
      </w:pPr>
      <w:r>
        <w:rPr>
          <w:rFonts w:ascii="Arial" w:cs="Arial" w:eastAsia="Arial" w:hAnsi="Arial"/>
          <w:color w:val="1A1A1A"/>
          <w:sz w:val="22"/>
          <w:szCs w:val="22"/>
        </w:rPr>
        <w:t xml:space="preserve">Entegrasyon: Alpaca, Interactive Brokers, Saxo Bank bağlantısı</w:t>
      </w:r>
    </w:p>
    <w:p>
      <w:pPr>
        <w:spacing w:after="120"/>
      </w:pPr>
      <w:r>
        <w:t xml:space="preserve"/>
      </w:r>
    </w:p>
    <w:p>
      <w:pPr>
        <w:pStyle w:val="Heading3"/>
        <w:spacing w:before="180" w:after="60"/>
      </w:pPr>
      <w:r>
        <w:rPr>
          <w:rFonts w:ascii="Arial" w:cs="Arial" w:eastAsia="Arial" w:hAnsi="Arial"/>
          <w:b/>
          <w:bCs/>
          <w:color w:val="5A6A82"/>
          <w:sz w:val="22"/>
          <w:szCs w:val="22"/>
        </w:rPr>
        <w:t xml:space="preserve">Fintech Geliştiricileri</w:t>
      </w:r>
    </w:p>
    <w:p>
      <w:pPr>
        <w:pStyle w:val="ListParagraph"/>
        <w:numPr>
          <w:ilvl w:val="0"/>
          <w:numId w:val="2"/>
        </w:numPr>
        <w:spacing w:after="80"/>
      </w:pPr>
      <w:r>
        <w:rPr>
          <w:rFonts w:ascii="Arial" w:cs="Arial" w:eastAsia="Arial" w:hAnsi="Arial"/>
          <w:color w:val="1A1A1A"/>
          <w:sz w:val="22"/>
          <w:szCs w:val="22"/>
        </w:rPr>
        <w:t xml:space="preserve">API-first mimarisi: %99,9 uptime SLA</w:t>
      </w:r>
    </w:p>
    <w:p>
      <w:pPr>
        <w:pStyle w:val="ListParagraph"/>
        <w:numPr>
          <w:ilvl w:val="0"/>
          <w:numId w:val="2"/>
        </w:numPr>
        <w:spacing w:after="80"/>
      </w:pPr>
      <w:r>
        <w:rPr>
          <w:rFonts w:ascii="Arial" w:cs="Arial" w:eastAsia="Arial" w:hAnsi="Arial"/>
          <w:color w:val="1A1A1A"/>
          <w:sz w:val="22"/>
          <w:szCs w:val="22"/>
        </w:rPr>
        <w:t xml:space="preserve">LLM entegrasyonu: Dayanıklılık için çok sağlayıcı LLM yönlendiricisi</w:t>
      </w:r>
    </w:p>
    <w:p>
      <w:pPr>
        <w:pStyle w:val="ListParagraph"/>
        <w:numPr>
          <w:ilvl w:val="0"/>
          <w:numId w:val="2"/>
        </w:numPr>
        <w:spacing w:after="80"/>
      </w:pPr>
      <w:r>
        <w:rPr>
          <w:rFonts w:ascii="Arial" w:cs="Arial" w:eastAsia="Arial" w:hAnsi="Arial"/>
          <w:color w:val="1A1A1A"/>
          <w:sz w:val="22"/>
          <w:szCs w:val="22"/>
        </w:rPr>
        <w:t xml:space="preserve">Ölçeklenebilirlik: Gerçek zamanlı analizde 1.000+ sembol işliyor</w:t>
      </w:r>
    </w:p>
    <w:p>
      <w:pPr>
        <w:spacing w:after="120"/>
      </w:pPr>
      <w:r>
        <w:t xml:space="preserve"/>
      </w:r>
    </w:p>
    <w:p>
      <w:r>
        <w:br w:type="page"/>
      </w:r>
    </w:p>
    <w:p>
      <w:pPr>
        <w:pStyle w:val="Heading1"/>
        <w:pBdr>
          <w:bottom w:val="single" w:color="1B3A6B" w:sz="8" w:space="4"/>
        </w:pBdr>
        <w:spacing w:before="360" w:after="120"/>
      </w:pPr>
      <w:r>
        <w:rPr>
          <w:rFonts w:ascii="Arial" w:cs="Arial" w:eastAsia="Arial" w:hAnsi="Arial"/>
          <w:b/>
          <w:bCs/>
          <w:color w:val="1B3A6B"/>
          <w:sz w:val="28"/>
          <w:szCs w:val="28"/>
        </w:rPr>
        <w:t xml:space="preserve">6. Rekabetçi Analiz</w:t>
      </w:r>
    </w:p>
    <w:p>
      <w:pPr>
        <w:pStyle w:val="Heading2"/>
        <w:spacing w:before="240" w:after="80"/>
      </w:pPr>
      <w:r>
        <w:rPr>
          <w:rFonts w:ascii="Arial" w:cs="Arial" w:eastAsia="Arial" w:hAnsi="Arial"/>
          <w:b/>
          <w:bCs/>
          <w:color w:val="2E5FA3"/>
          <w:sz w:val="24"/>
          <w:szCs w:val="24"/>
        </w:rPr>
        <w:t xml:space="preserve">6.1 Rekabetçi Ortam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400"/>
        <w:gridCol w:w="1400"/>
        <w:gridCol w:w="1228"/>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Ürün</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Fiyat Katmanı</w:t>
            </w:r>
          </w:p>
        </w:tc>
        <w:tc>
          <w:tcPr>
            <w:tcW w:type="dxa" w:w="12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DRL Ajanları</w:t>
            </w:r>
          </w:p>
        </w:tc>
        <w:tc>
          <w:tcPr>
            <w:tcW w:type="dxa" w:w="1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LLM Entegrasyonu</w:t>
            </w:r>
          </w:p>
        </w:tc>
        <w:tc>
          <w:tcPr>
            <w:tcW w:type="dxa" w:w="1400"/>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Risk Kontrolleri</w:t>
            </w:r>
          </w:p>
        </w:tc>
        <w:tc>
          <w:tcPr>
            <w:tcW w:type="dxa" w:w="1228"/>
            <w:tcBorders>
              <w:top w:val="single" w:color="CCCCCC" w:sz="1"/>
              <w:left w:val="single" w:color="CCCCCC" w:sz="1"/>
              <w:bottom w:val="single" w:color="CCCCCC" w:sz="1"/>
              <w:right w:val="single" w:color="CCCCCC" w:sz="1"/>
            </w:tcBorders>
            <w:shd w:fill="1B3A6B" w:val="clear"/>
            <w:tcMar>
              <w:top w:type="dxa" w:w="80"/>
              <w:left w:type="dxa" w:w="150"/>
              <w:bottom w:type="dxa" w:w="80"/>
              <w:right w:type="dxa" w:w="150"/>
            </w:tcMar>
          </w:tcPr>
          <w:p>
            <w:r>
              <w:rPr>
                <w:rFonts w:ascii="Arial" w:cs="Arial" w:eastAsia="Arial" w:hAnsi="Arial"/>
                <w:b/>
                <w:bCs/>
                <w:color w:val="FFFFFF"/>
                <w:sz w:val="20"/>
                <w:szCs w:val="20"/>
              </w:rPr>
              <w:t xml:space="preserve">Konum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Bloomberg Terminal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€25K/y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Hayır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Hayır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Evet</w:t>
            </w:r>
          </w:p>
        </w:tc>
        <w:tc>
          <w:tcPr>
            <w:tcW w:type="dxa" w:w="12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Kurumsal</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QuantConnect</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€200/ay</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Sınırlı</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Hayır</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Temel</w:t>
            </w:r>
          </w:p>
        </w:tc>
        <w:tc>
          <w:tcPr>
            <w:tcW w:type="dxa" w:w="12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Geliştirici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TradingView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€15/ay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Hayır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Hayır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Hayır</w:t>
            </w:r>
          </w:p>
        </w:tc>
        <w:tc>
          <w:tcPr>
            <w:tcW w:type="dxa" w:w="12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Teknik Analiz</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Koyfin</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€300/ay</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Hayır</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Sınırlı</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Temel</w:t>
            </w:r>
          </w:p>
        </w:tc>
        <w:tc>
          <w:tcPr>
            <w:tcW w:type="dxa" w:w="12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Analist Araçları</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Finviz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€40/ay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Hayır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Hayır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Hayır</w:t>
            </w:r>
          </w:p>
        </w:tc>
        <w:tc>
          <w:tcPr>
            <w:tcW w:type="dxa" w:w="122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1A1A1A"/>
                <w:sz w:val="19"/>
                <w:szCs w:val="19"/>
              </w:rPr>
              <w:t xml:space="preserve">Tarama</w:t>
            </w:r>
          </w:p>
        </w:tc>
      </w:tr>
      <w:tr>
        <w:tc>
          <w:tcPr>
            <w:tcW w:type="dxa" w:w="16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FinPilot</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€29-99/ay</w:t>
            </w:r>
          </w:p>
        </w:tc>
        <w:tc>
          <w:tcPr>
            <w:tcW w:type="dxa" w:w="12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Evet (19)</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Evet (Multi)</w:t>
            </w:r>
          </w:p>
        </w:tc>
        <w:tc>
          <w:tcPr>
            <w:tcW w:type="dxa" w:w="1400"/>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PilotShield</w:t>
            </w:r>
          </w:p>
        </w:tc>
        <w:tc>
          <w:tcPr>
            <w:tcW w:type="dxa" w:w="1228"/>
            <w:tcBorders>
              <w:top w:val="single" w:color="CCCCCC" w:sz="1"/>
              <w:left w:val="single" w:color="CCCCCC" w:sz="1"/>
              <w:bottom w:val="single" w:color="CCCCCC" w:sz="1"/>
              <w:right w:val="single" w:color="CCCCCC" w:sz="1"/>
            </w:tcBorders>
            <w:shd w:fill="F4F6FA" w:val="clear"/>
            <w:tcMar>
              <w:top w:type="dxa" w:w="80"/>
              <w:left w:type="dxa" w:w="150"/>
              <w:bottom w:type="dxa" w:w="80"/>
              <w:right w:type="dxa" w:w="150"/>
            </w:tcMar>
          </w:tcPr>
          <w:p>
            <w:r>
              <w:rPr>
                <w:rFonts w:ascii="Arial" w:cs="Arial" w:eastAsia="Arial" w:hAnsi="Arial"/>
                <w:color w:val="1A1A1A"/>
                <w:sz w:val="19"/>
                <w:szCs w:val="19"/>
              </w:rPr>
              <w:t xml:space="preserve">Perakende/KOBİ</w:t>
            </w:r>
          </w:p>
        </w:tc>
      </w:tr>
    </w:tbl>
    <w:p>
      <w:pPr>
        <w:spacing w:after="120"/>
      </w:pPr>
      <w:r>
        <w:t xml:space="preserve"/>
      </w:r>
    </w:p>
    <w:p>
      <w:pPr>
        <w:pStyle w:val="Heading2"/>
        <w:spacing w:before="240" w:after="80"/>
      </w:pPr>
      <w:r>
        <w:rPr>
          <w:rFonts w:ascii="Arial" w:cs="Arial" w:eastAsia="Arial" w:hAnsi="Arial"/>
          <w:b/>
          <w:bCs/>
          <w:color w:val="2E5FA3"/>
          <w:sz w:val="24"/>
          <w:szCs w:val="24"/>
        </w:rPr>
        <w:t xml:space="preserve">6.2 Taklid Engelleri</w:t>
      </w:r>
    </w:p>
    <w:p>
      <w:pPr>
        <w:pStyle w:val="ListParagraph"/>
        <w:numPr>
          <w:ilvl w:val="0"/>
          <w:numId w:val="2"/>
        </w:numPr>
        <w:spacing w:after="80"/>
      </w:pPr>
      <w:r>
        <w:rPr>
          <w:rFonts w:ascii="Arial" w:cs="Arial" w:eastAsia="Arial" w:hAnsi="Arial"/>
          <w:color w:val="1A1A1A"/>
          <w:sz w:val="22"/>
          <w:szCs w:val="22"/>
        </w:rPr>
        <w:t xml:space="preserve">Proprietary DRL modelleri 5+ yıllık pazar verileriyle müfredat öğrenmesi ile eğitilmiş</w:t>
      </w:r>
    </w:p>
    <w:p>
      <w:pPr>
        <w:pStyle w:val="ListParagraph"/>
        <w:numPr>
          <w:ilvl w:val="0"/>
          <w:numId w:val="2"/>
        </w:numPr>
        <w:spacing w:after="80"/>
      </w:pPr>
      <w:r>
        <w:rPr>
          <w:rFonts w:ascii="Arial" w:cs="Arial" w:eastAsia="Arial" w:hAnsi="Arial"/>
          <w:color w:val="1A1A1A"/>
          <w:sz w:val="22"/>
          <w:szCs w:val="22"/>
        </w:rPr>
        <w:t xml:space="preserve">Multi-LLM failover mimarisi (Groq, Claude, Gemini) kurumsal ortaklıklar gerekli</w:t>
      </w:r>
    </w:p>
    <w:p>
      <w:pPr>
        <w:pStyle w:val="ListParagraph"/>
        <w:numPr>
          <w:ilvl w:val="0"/>
          <w:numId w:val="2"/>
        </w:numPr>
        <w:spacing w:after="80"/>
      </w:pPr>
      <w:r>
        <w:rPr>
          <w:rFonts w:ascii="Arial" w:cs="Arial" w:eastAsia="Arial" w:hAnsi="Arial"/>
          <w:color w:val="1A1A1A"/>
          <w:sz w:val="22"/>
          <w:szCs w:val="22"/>
        </w:rPr>
        <w:t xml:space="preserve">PilotShield risk çerçevesi Optuna-optimize edilmiş sınırlamalarla</w:t>
      </w:r>
    </w:p>
    <w:p>
      <w:pPr>
        <w:pStyle w:val="ListParagraph"/>
        <w:numPr>
          <w:ilvl w:val="0"/>
          <w:numId w:val="2"/>
        </w:numPr>
        <w:spacing w:after="80"/>
      </w:pPr>
      <w:r>
        <w:rPr>
          <w:rFonts w:ascii="Arial" w:cs="Arial" w:eastAsia="Arial" w:hAnsi="Arial"/>
          <w:color w:val="1A1A1A"/>
          <w:sz w:val="22"/>
          <w:szCs w:val="22"/>
        </w:rPr>
        <w:t xml:space="preserve">Üretim altyapısı (Docker, CI/CD, Prometheus izleme) 6+ ay mühendislik borcu ile</w:t>
      </w:r>
    </w:p>
    <w:p>
      <w:pPr>
        <w:spacing w:after="120"/>
      </w:pPr>
      <w:r>
        <w:t xml:space="preserve"/>
      </w:r>
    </w:p>
    <w:p>
      <w:pPr>
        <w:spacing w:before="300" w:after="300"/>
        <w:jc w:val="center"/>
      </w:pPr>
      <w:r>
        <w:rPr>
          <w:rFonts w:ascii="Arial" w:cs="Arial" w:eastAsia="Arial" w:hAnsi="Arial"/>
          <w:b/>
          <w:bCs/>
          <w:i/>
          <w:iCs/>
          <w:color w:val="5A6A82"/>
          <w:sz w:val="22"/>
          <w:szCs w:val="22"/>
        </w:rPr>
        <w:t xml:space="preserve">— Pazar Analizi Sonu —</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jc w:val="center"/>
    </w:pPr>
    <w:r>
      <w:rPr>
        <w:rFonts w:ascii="Arial" w:cs="Arial" w:eastAsia="Arial" w:hAnsi="Arial"/>
        <w:color w:val="5A6A82"/>
        <w:sz w:val="18"/>
        <w:szCs w:val="18"/>
      </w:rPr>
      <w:t xml:space="preserve">FinPilot Pazar Analizi  |  Sayfa </w:t>
    </w:r>
    <w:r>
      <w:rPr>
        <w:rFonts w:ascii="Arial" w:cs="Arial" w:eastAsia="Arial" w:hAnsi="Arial"/>
        <w:color w:val="5A6A82"/>
        <w:sz w:val="18"/>
        <w:szCs w:val="18"/>
      </w:rPr>
      <w:fldChar w:fldCharType="begin"/>
      <w:instrText xml:space="preserve">PAGE</w:instrText>
      <w:fldChar w:fldCharType="separate"/>
      <w:fldChar w:fldCharType="end"/>
    </w:r>
    <w:r>
      <w:rPr>
        <w:rFonts w:ascii="Arial" w:cs="Arial" w:eastAsia="Arial" w:hAnsi="Arial"/>
        <w:color w:val="5A6A82"/>
        <w:sz w:val="18"/>
        <w:szCs w:val="18"/>
      </w:rPr>
      <w:t xml:space="preserve"> / </w:t>
    </w:r>
    <w:r>
      <w:rPr>
        <w:rFonts w:ascii="Arial" w:cs="Arial" w:eastAsia="Arial" w:hAnsi="Arial"/>
        <w:color w:val="5A6A82"/>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tabs>
        <w:tab w:val="right" w:pos="9026"/>
      </w:tabs>
    </w:pPr>
    <w:r>
      <w:rPr>
        <w:rFonts w:ascii="Arial" w:cs="Arial" w:eastAsia="Arial" w:hAnsi="Arial"/>
        <w:color w:val="5A6A82"/>
        <w:sz w:val="18"/>
        <w:szCs w:val="18"/>
      </w:rPr>
      <w:t xml:space="preserve">FinPilot  |  Pazar Analizi  |  Gizli</w:t>
    </w:r>
    <w:r>
      <w:rPr>
        <w:rFonts w:ascii="Arial" w:cs="Arial" w:eastAsia="Arial" w:hAnsi="Arial"/>
        <w:color w:val="5A6A82"/>
        <w:sz w:val="18"/>
        <w:szCs w:val="18"/>
      </w:rPr>
      <w:t xml:space="preserv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FA3"/>
      <w:sz w:val="24"/>
      <w:szCs w:val="24"/>
    </w:rPr>
  </w:style>
  <w:style w:type="paragraph" w:styleId="Heading3">
    <w:name w:val="Heading 3"/>
    <w:basedOn w:val="Normal"/>
    <w:next w:val="Normal"/>
    <w:qFormat/>
    <w:pPr>
      <w:spacing w:before="180" w:after="60"/>
      <w:outlineLvl w:val="2"/>
    </w:pPr>
    <w:rPr>
      <w:rFonts w:ascii="Arial" w:cs="Arial" w:eastAsia="Arial" w:hAnsi="Arial"/>
      <w:b/>
      <w:bCs/>
      <w:color w:val="5A6A8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2026-03-30T16:31:18.929Z</dcterms:created>
  <dcterms:modified xsi:type="dcterms:W3CDTF">2026-03-30T16:31:18.929Z</dcterms:modified>
</cp:coreProperties>
</file>

<file path=docProps/custom.xml><?xml version="1.0" encoding="utf-8"?>
<Properties xmlns="http://schemas.openxmlformats.org/officeDocument/2006/custom-properties" xmlns:vt="http://schemas.openxmlformats.org/officeDocument/2006/docPropsVTypes"/>
</file>