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A5C"/>
          <w:sz w:val="52"/>
        </w:rPr>
        <w:t>Duty-Based Compensation</w:t>
        <w:br/>
        <w:t>Benchmarking Methodology</w:t>
      </w:r>
    </w:p>
    <w:p>
      <w:pPr>
        <w:jc w:val="center"/>
      </w:pPr>
      <w:r>
        <w:rPr>
          <w:rFonts w:ascii="Calibri" w:hAnsi="Calibri"/>
          <w:i/>
          <w:color w:val="2C7BE5"/>
          <w:sz w:val="28"/>
        </w:rPr>
        <w:t>How Pure Work AI Prices Roles Based on What People Actually Do</w:t>
      </w:r>
    </w:p>
    <w:p/>
    <w:p>
      <w:pPr>
        <w:jc w:val="center"/>
      </w:pPr>
      <w:r>
        <w:rPr>
          <w:rFonts w:ascii="Calibri" w:hAnsi="Calibri"/>
          <w:color w:val="666666"/>
          <w:sz w:val="24"/>
        </w:rPr>
        <w:t>Pure Work AI</w:t>
      </w:r>
    </w:p>
    <w:p>
      <w:pPr>
        <w:jc w:val="center"/>
      </w:pPr>
      <w:r>
        <w:rPr>
          <w:rFonts w:ascii="Calibri" w:hAnsi="Calibri"/>
          <w:color w:val="666666"/>
          <w:sz w:val="20"/>
        </w:rPr>
        <w:t>Version 1.0</w:t>
      </w:r>
    </w:p>
    <w:p>
      <w:r>
        <w:br w:type="page"/>
      </w:r>
    </w:p>
    <w:p>
      <w:pPr>
        <w:pStyle w:val="Heading1"/>
      </w:pPr>
      <w:r>
        <w:t>Section 1: Why Duty-Based Beats Title-Based</w:t>
      </w:r>
    </w:p>
    <w:p>
      <w:pPr>
        <w:pStyle w:val="Heading2"/>
      </w:pPr>
      <w:r>
        <w:t>The Problem with Title-Based Benchmarking</w:t>
      </w:r>
    </w:p>
    <w:p>
      <w:r>
        <w:t>Search "Revenue Operations Manager" across major salary databases and you will get results ranging from $65,000 to $168,000 depending on the source. That is a $103,000 spread. It tells a hiring manager almost nothing useful about what to pay the person they are actually trying to hire.</w:t>
      </w:r>
    </w:p>
    <w:p>
      <w:r>
        <w:t>Title-based searches are contaminated by:</w:t>
      </w:r>
    </w:p>
    <w:p>
      <w:pPr>
        <w:pStyle w:val="ListBullet"/>
      </w:pPr>
      <w:r>
        <w:rPr>
          <w:rFonts w:ascii="Calibri" w:hAnsi="Calibri"/>
          <w:color w:val="333333"/>
          <w:sz w:val="21"/>
        </w:rPr>
        <w:t>Company size differences: A RevOps Manager at a 15-person startup vs. a 5,000-person enterprise are fundamentally different roles</w:t>
      </w:r>
    </w:p>
    <w:p>
      <w:pPr>
        <w:pStyle w:val="ListBullet"/>
      </w:pPr>
      <w:r>
        <w:rPr>
          <w:rFonts w:ascii="Calibri" w:hAnsi="Calibri"/>
          <w:color w:val="333333"/>
          <w:sz w:val="21"/>
        </w:rPr>
        <w:t>Industry mixing: RevOps in SaaS vs. manufacturing vs. financial services carry different market rates</w:t>
      </w:r>
    </w:p>
    <w:p>
      <w:pPr>
        <w:pStyle w:val="ListBullet"/>
      </w:pPr>
      <w:r>
        <w:rPr>
          <w:rFonts w:ascii="Calibri" w:hAnsi="Calibri"/>
          <w:color w:val="333333"/>
          <w:sz w:val="21"/>
        </w:rPr>
        <w:t>Geographic mixing: National averages blend NYC ($145K+) with Midwest markets ($85K)</w:t>
      </w:r>
    </w:p>
    <w:p>
      <w:pPr>
        <w:pStyle w:val="ListBullet"/>
      </w:pPr>
      <w:r>
        <w:rPr>
          <w:rFonts w:ascii="Calibri" w:hAnsi="Calibri"/>
          <w:color w:val="333333"/>
          <w:sz w:val="21"/>
        </w:rPr>
        <w:t>Title inflation: "Senior" at a 5-person company vs. "Senior" at a Fortune 500 are not comparable</w:t>
      </w:r>
    </w:p>
    <w:p>
      <w:pPr>
        <w:pStyle w:val="ListBullet"/>
      </w:pPr>
      <w:r>
        <w:rPr>
          <w:rFonts w:ascii="Calibri" w:hAnsi="Calibri"/>
          <w:color w:val="333333"/>
          <w:sz w:val="21"/>
        </w:rPr>
        <w:t>Prestige bias: Self-reported data skews high because respondents at prestigious companies are more likely to report</w:t>
      </w:r>
    </w:p>
    <w:p>
      <w:pPr>
        <w:pStyle w:val="Heading2"/>
      </w:pPr>
      <w:r>
        <w:t>The Duty-Based Alternative</w:t>
      </w:r>
    </w:p>
    <w:p>
      <w:r>
        <w:t>Instead of asking "What does a RevOps Manager make?", the duty-based approach asks: "What does THIS person actually DO all day, and what does the market pay for each of those activities?"</w:t>
      </w:r>
    </w:p>
    <w:p>
      <w:r>
        <w:t>The process:</w:t>
      </w:r>
    </w:p>
    <w:p>
      <w:pPr>
        <w:pStyle w:val="ListBullet"/>
      </w:pPr>
      <w:r>
        <w:rPr>
          <w:rFonts w:ascii="Calibri" w:hAnsi="Calibri"/>
          <w:color w:val="333333"/>
          <w:sz w:val="21"/>
        </w:rPr>
        <w:t>Decompose the role into what the person actually DOES (3-5 duty buckets)</w:t>
      </w:r>
    </w:p>
    <w:p>
      <w:pPr>
        <w:pStyle w:val="ListBullet"/>
      </w:pPr>
      <w:r>
        <w:rPr>
          <w:rFonts w:ascii="Calibri" w:hAnsi="Calibri"/>
          <w:color w:val="333333"/>
          <w:sz w:val="21"/>
        </w:rPr>
        <w:t>Assign time-allocation weights to each bucket (must total 100%)</w:t>
      </w:r>
    </w:p>
    <w:p>
      <w:pPr>
        <w:pStyle w:val="ListBullet"/>
      </w:pPr>
      <w:r>
        <w:rPr>
          <w:rFonts w:ascii="Calibri" w:hAnsi="Calibri"/>
          <w:color w:val="333333"/>
          <w:sz w:val="21"/>
        </w:rPr>
        <w:t>Price each duty bucket independently using the traditional job title that matches that specific duty</w:t>
      </w:r>
    </w:p>
    <w:p>
      <w:pPr>
        <w:pStyle w:val="ListBullet"/>
      </w:pPr>
      <w:r>
        <w:rPr>
          <w:rFonts w:ascii="Calibri" w:hAnsi="Calibri"/>
          <w:color w:val="333333"/>
          <w:sz w:val="21"/>
        </w:rPr>
        <w:t>Blend the results using the weights to produce a duty-weighted salary recommendation</w:t>
      </w:r>
    </w:p>
    <w:p>
      <w:pPr>
        <w:pStyle w:val="Heading2"/>
      </w:pPr>
      <w:r>
        <w:t>Real Example: The $25-30K Difference</w:t>
      </w:r>
    </w:p>
    <w:p>
      <w:r>
        <w:t>A client needed to hire a Revenue Operations Manager. Title-based benchmarking across 8 sources returned a range of $120,000-$145,000. Duty-based analysis decomposed the role into: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A3A5C"/>
          </w:tcPr>
          <w:p>
            <w:pPr>
              <w:jc w:val="left"/>
            </w:pPr>
            <w:r/>
            <w:r>
              <w:rPr>
                <w:rFonts w:ascii="Calibri" w:hAnsi="Calibri"/>
                <w:b/>
                <w:color w:val="FFFFFF"/>
                <w:sz w:val="20"/>
              </w:rPr>
              <w:t>Duty Bucket</w:t>
            </w:r>
          </w:p>
        </w:tc>
        <w:tc>
          <w:tcPr>
            <w:tcW w:type="dxa" w:w="1152"/>
            <w:shd w:fill="1A3A5C"/>
          </w:tcPr>
          <w:p>
            <w:pPr>
              <w:jc w:val="left"/>
            </w:pPr>
            <w:r/>
            <w:r>
              <w:rPr>
                <w:rFonts w:ascii="Calibri" w:hAnsi="Calibri"/>
                <w:b/>
                <w:color w:val="FFFFFF"/>
                <w:sz w:val="20"/>
              </w:rPr>
              <w:t>Weight</w:t>
            </w:r>
          </w:p>
        </w:tc>
        <w:tc>
          <w:tcPr>
            <w:tcW w:type="dxa" w:w="3168"/>
            <w:shd w:fill="1A3A5C"/>
          </w:tcPr>
          <w:p>
            <w:pPr>
              <w:jc w:val="left"/>
            </w:pPr>
            <w:r/>
            <w:r>
              <w:rPr>
                <w:rFonts w:ascii="Calibri" w:hAnsi="Calibri"/>
                <w:b/>
                <w:color w:val="FFFFFF"/>
                <w:sz w:val="20"/>
              </w:rPr>
              <w:t>Traditional Title Used</w:t>
            </w:r>
          </w:p>
        </w:tc>
        <w:tc>
          <w:tcPr>
            <w:tcW w:type="dxa" w:w="1728"/>
            <w:shd w:fill="1A3A5C"/>
          </w:tcPr>
          <w:p>
            <w:pPr>
              <w:jc w:val="left"/>
            </w:pPr>
            <w:r/>
            <w:r>
              <w:rPr>
                <w:rFonts w:ascii="Calibri" w:hAnsi="Calibri"/>
                <w:b/>
                <w:color w:val="FFFFFF"/>
                <w:sz w:val="20"/>
              </w:rPr>
              <w:t>Midpoint</w:t>
            </w:r>
          </w:p>
        </w:tc>
      </w:tr>
      <w:tr>
        <w:tc>
          <w:tcPr>
            <w:tcW w:type="dxa" w:w="2880"/>
          </w:tcPr>
          <w:p>
            <w:r/>
            <w:r>
              <w:rPr>
                <w:rFonts w:ascii="Calibri" w:hAnsi="Calibri"/>
                <w:color w:val="333333"/>
                <w:sz w:val="20"/>
              </w:rPr>
              <w:t>CRM Administration</w:t>
            </w:r>
          </w:p>
        </w:tc>
        <w:tc>
          <w:tcPr>
            <w:tcW w:type="dxa" w:w="1152"/>
          </w:tcPr>
          <w:p>
            <w:r/>
            <w:r>
              <w:rPr>
                <w:rFonts w:ascii="Calibri" w:hAnsi="Calibri"/>
                <w:color w:val="333333"/>
                <w:sz w:val="20"/>
              </w:rPr>
              <w:t>35%</w:t>
            </w:r>
          </w:p>
        </w:tc>
        <w:tc>
          <w:tcPr>
            <w:tcW w:type="dxa" w:w="3168"/>
          </w:tcPr>
          <w:p>
            <w:r/>
            <w:r>
              <w:rPr>
                <w:rFonts w:ascii="Calibri" w:hAnsi="Calibri"/>
                <w:color w:val="333333"/>
                <w:sz w:val="20"/>
              </w:rPr>
              <w:t>CRM Manager</w:t>
            </w:r>
          </w:p>
        </w:tc>
        <w:tc>
          <w:tcPr>
            <w:tcW w:type="dxa" w:w="1728"/>
          </w:tcPr>
          <w:p>
            <w:r/>
            <w:r>
              <w:rPr>
                <w:rFonts w:ascii="Calibri" w:hAnsi="Calibri"/>
                <w:color w:val="333333"/>
                <w:sz w:val="20"/>
              </w:rPr>
              <w:t>$82,000</w:t>
            </w:r>
          </w:p>
        </w:tc>
      </w:tr>
      <w:tr>
        <w:tc>
          <w:tcPr>
            <w:tcW w:type="dxa" w:w="2880"/>
            <w:shd w:fill="F5F7FA"/>
          </w:tcPr>
          <w:p>
            <w:r/>
            <w:r>
              <w:rPr>
                <w:rFonts w:ascii="Calibri" w:hAnsi="Calibri"/>
                <w:color w:val="333333"/>
                <w:sz w:val="20"/>
              </w:rPr>
              <w:t>Process Design &amp; Documentation</w:t>
            </w:r>
          </w:p>
        </w:tc>
        <w:tc>
          <w:tcPr>
            <w:tcW w:type="dxa" w:w="1152"/>
            <w:shd w:fill="F5F7FA"/>
          </w:tcPr>
          <w:p>
            <w:r/>
            <w:r>
              <w:rPr>
                <w:rFonts w:ascii="Calibri" w:hAnsi="Calibri"/>
                <w:color w:val="333333"/>
                <w:sz w:val="20"/>
              </w:rPr>
              <w:t>30%</w:t>
            </w:r>
          </w:p>
        </w:tc>
        <w:tc>
          <w:tcPr>
            <w:tcW w:type="dxa" w:w="3168"/>
            <w:shd w:fill="F5F7FA"/>
          </w:tcPr>
          <w:p>
            <w:r/>
            <w:r>
              <w:rPr>
                <w:rFonts w:ascii="Calibri" w:hAnsi="Calibri"/>
                <w:color w:val="333333"/>
                <w:sz w:val="20"/>
              </w:rPr>
              <w:t>Business Process Analyst</w:t>
            </w:r>
          </w:p>
        </w:tc>
        <w:tc>
          <w:tcPr>
            <w:tcW w:type="dxa" w:w="1728"/>
            <w:shd w:fill="F5F7FA"/>
          </w:tcPr>
          <w:p>
            <w:r/>
            <w:r>
              <w:rPr>
                <w:rFonts w:ascii="Calibri" w:hAnsi="Calibri"/>
                <w:color w:val="333333"/>
                <w:sz w:val="20"/>
              </w:rPr>
              <w:t>$78,000</w:t>
            </w:r>
          </w:p>
        </w:tc>
      </w:tr>
      <w:tr>
        <w:tc>
          <w:tcPr>
            <w:tcW w:type="dxa" w:w="2880"/>
          </w:tcPr>
          <w:p>
            <w:r/>
            <w:r>
              <w:rPr>
                <w:rFonts w:ascii="Calibri" w:hAnsi="Calibri"/>
                <w:color w:val="333333"/>
                <w:sz w:val="20"/>
              </w:rPr>
              <w:t>Analytics &amp; Reporting</w:t>
            </w:r>
          </w:p>
        </w:tc>
        <w:tc>
          <w:tcPr>
            <w:tcW w:type="dxa" w:w="1152"/>
          </w:tcPr>
          <w:p>
            <w:r/>
            <w:r>
              <w:rPr>
                <w:rFonts w:ascii="Calibri" w:hAnsi="Calibri"/>
                <w:color w:val="333333"/>
                <w:sz w:val="20"/>
              </w:rPr>
              <w:t>25%</w:t>
            </w:r>
          </w:p>
        </w:tc>
        <w:tc>
          <w:tcPr>
            <w:tcW w:type="dxa" w:w="3168"/>
          </w:tcPr>
          <w:p>
            <w:r/>
            <w:r>
              <w:rPr>
                <w:rFonts w:ascii="Calibri" w:hAnsi="Calibri"/>
                <w:color w:val="333333"/>
                <w:sz w:val="20"/>
              </w:rPr>
              <w:t>Business Analyst</w:t>
            </w:r>
          </w:p>
        </w:tc>
        <w:tc>
          <w:tcPr>
            <w:tcW w:type="dxa" w:w="1728"/>
          </w:tcPr>
          <w:p>
            <w:r/>
            <w:r>
              <w:rPr>
                <w:rFonts w:ascii="Calibri" w:hAnsi="Calibri"/>
                <w:color w:val="333333"/>
                <w:sz w:val="20"/>
              </w:rPr>
              <w:t>$80,000</w:t>
            </w:r>
          </w:p>
        </w:tc>
      </w:tr>
      <w:tr>
        <w:tc>
          <w:tcPr>
            <w:tcW w:type="dxa" w:w="2880"/>
            <w:shd w:fill="F5F7FA"/>
          </w:tcPr>
          <w:p>
            <w:r/>
            <w:r>
              <w:rPr>
                <w:rFonts w:ascii="Calibri" w:hAnsi="Calibri"/>
                <w:color w:val="333333"/>
                <w:sz w:val="20"/>
              </w:rPr>
              <w:t>Sales Enablement</w:t>
            </w:r>
          </w:p>
        </w:tc>
        <w:tc>
          <w:tcPr>
            <w:tcW w:type="dxa" w:w="1152"/>
            <w:shd w:fill="F5F7FA"/>
          </w:tcPr>
          <w:p>
            <w:r/>
            <w:r>
              <w:rPr>
                <w:rFonts w:ascii="Calibri" w:hAnsi="Calibri"/>
                <w:color w:val="333333"/>
                <w:sz w:val="20"/>
              </w:rPr>
              <w:t>10%</w:t>
            </w:r>
          </w:p>
        </w:tc>
        <w:tc>
          <w:tcPr>
            <w:tcW w:type="dxa" w:w="3168"/>
            <w:shd w:fill="F5F7FA"/>
          </w:tcPr>
          <w:p>
            <w:r/>
            <w:r>
              <w:rPr>
                <w:rFonts w:ascii="Calibri" w:hAnsi="Calibri"/>
                <w:color w:val="333333"/>
                <w:sz w:val="20"/>
              </w:rPr>
              <w:t>Sales Enablement Coordinator</w:t>
            </w:r>
          </w:p>
        </w:tc>
        <w:tc>
          <w:tcPr>
            <w:tcW w:type="dxa" w:w="1728"/>
            <w:shd w:fill="F5F7FA"/>
          </w:tcPr>
          <w:p>
            <w:r/>
            <w:r>
              <w:rPr>
                <w:rFonts w:ascii="Calibri" w:hAnsi="Calibri"/>
                <w:color w:val="333333"/>
                <w:sz w:val="20"/>
              </w:rPr>
              <w:t>$65,000</w:t>
            </w:r>
          </w:p>
        </w:tc>
      </w:tr>
    </w:tbl>
    <w:p/>
    <w:p>
      <w:r>
        <w:t>Blended result: ($82,000 x 0.35) + ($78,000 x 0.30) + ($80,000 x 0.25) + ($65,000 x 0.10) = $78,600 midpoint. After adjustments for first-hire premium (+8%), tech company context (+5%), and integration complexity (+5%), the final recommendation was $93,500-$115,000.</w:t>
      </w:r>
    </w:p>
    <w:p>
      <w:r>
        <w:t>The duty-based recommendation of $95,000-$115,000 was $25,000-$30,000 lower than the title-based result. The client hired at $105,000 and the candidate accepted within 48 hours, confirming the duty-based number was market-accurate. The title-based number would have meant overpaying by $20K+.</w:t>
      </w:r>
    </w:p>
    <w:p>
      <w:pPr>
        <w:ind w:left="432"/>
      </w:pPr>
      <w:r>
        <w:rPr>
          <w:rFonts w:ascii="Calibri" w:hAnsi="Calibri"/>
          <w:b/>
          <w:color w:val="2C7BE5"/>
          <w:sz w:val="20"/>
        </w:rPr>
        <w:t xml:space="preserve">Important: </w:t>
      </w:r>
      <w:r>
        <w:rPr>
          <w:rFonts w:ascii="Calibri" w:hAnsi="Calibri"/>
          <w:i/>
          <w:color w:val="333333"/>
          <w:sz w:val="20"/>
        </w:rPr>
        <w:t>Duty-based benchmarking does not always produce a lower number. In cases where a role combines high-value specializations, duty-based analysis can produce a HIGHER recommendation than title-based. The point is accuracy, not cost reduction.</w:t>
      </w:r>
    </w:p>
    <w:p>
      <w:pPr>
        <w:pStyle w:val="Heading1"/>
      </w:pPr>
      <w:r>
        <w:t>Section 2: The 8-Step Process</w:t>
      </w:r>
    </w:p>
    <w:p>
      <w:pPr>
        <w:pStyle w:val="Heading2"/>
      </w:pPr>
      <w:r>
        <w:t>Step 1: Obtain the Job Description or Role Brief</w:t>
      </w:r>
    </w:p>
    <w:p>
      <w:r>
        <w:t>Start with whatever documentation exists for the role. If a formal JD exists, use it. If not, conduct a 15-20 minute intake interview with the hiring manager to understand:</w:t>
        <w:br/>
        <w:t>- What the person will spend most of their time doing</w:t>
        <w:br/>
        <w:t>- What tools/systems they will use</w:t>
        <w:br/>
        <w:t>- Who they report to and who reports to them</w:t>
        <w:br/>
        <w:t>- What "success" looks like in the first 6-12 months</w:t>
        <w:br/>
        <w:t>- Whether this is a new role or a replacement</w:t>
      </w:r>
    </w:p>
    <w:p>
      <w:r>
        <w:t>If the role is brand new (first hire), note this explicitly -- it carries a premium.</w:t>
      </w:r>
    </w:p>
    <w:p>
      <w:pPr>
        <w:pStyle w:val="Heading2"/>
      </w:pPr>
      <w:r>
        <w:t>Step 2: Decompose into 3-5 Duty Buckets with Time Allocation Weights</w:t>
      </w:r>
    </w:p>
    <w:p>
      <w:r>
        <w:t>Read the JD or intake notes and identify 3-5 distinct categories of work. Each bucket should represent a coherent set of activities that maps to a recognizable job title in the market.</w:t>
      </w:r>
    </w:p>
    <w:p>
      <w:r>
        <w:t>Rules for decomposition:</w:t>
        <w:br/>
        <w:t>- Weights must total 100%</w:t>
        <w:br/>
        <w:t>- No bucket should be less than 10% (if it is less than 10%, it is not a meaningful part of the role)</w:t>
        <w:br/>
        <w:t>- No bucket should exceed 50% (if it does, the role IS that thing with supporting duties)</w:t>
        <w:br/>
        <w:t>- Use the hiring manager's language to name the buckets -- they know their role better than you do</w:t>
      </w:r>
    </w:p>
    <w:p>
      <w:r>
        <w:t>Example: A Property Manager role might decompose as:</w:t>
        <w:br/>
        <w:t xml:space="preserve">  Tenant Relations &amp; Leasing: 30%</w:t>
        <w:br/>
        <w:t xml:space="preserve">  Financial Management &amp; Budgeting: 25%</w:t>
        <w:br/>
        <w:t xml:space="preserve">  Maintenance Oversight: 25%</w:t>
        <w:br/>
        <w:t xml:space="preserve">  Compliance &amp; Reporting: 20%</w:t>
      </w:r>
    </w:p>
    <w:p>
      <w:pPr>
        <w:pStyle w:val="Heading2"/>
      </w:pPr>
      <w:r>
        <w:t>Step 3: Identify the Traditional Job Title for Each Bucket</w:t>
      </w:r>
    </w:p>
    <w:p>
      <w:r>
        <w:t>For each duty bucket, identify the traditional, market-recognizable job title that matches that specific set of duties. This is the title you will search salary databases for.</w:t>
      </w:r>
    </w:p>
    <w:p>
      <w:r>
        <w:t>The key insight: You are NOT searching for the actual role title. You are searching for the title that the market uses to price THAT specific duty.</w:t>
      </w:r>
    </w:p>
    <w:p>
      <w:r>
        <w:t>Example mapping:</w:t>
        <w:br/>
        <w:t xml:space="preserve">  CRM Administration bucket -&gt; search "CRM Manager" or "Salesforce Administrator"</w:t>
        <w:br/>
        <w:t xml:space="preserve">  Process Design bucket -&gt; search "Business Process Analyst" or "Process Improvement Specialist"</w:t>
        <w:br/>
        <w:t xml:space="preserve">  Analytics bucket -&gt; search "Business Analyst" or "Data Analyst"</w:t>
      </w:r>
    </w:p>
    <w:p>
      <w:r>
        <w:t>Choose the title that most closely matches the seniority level and scope of the duty within this role.</w:t>
      </w:r>
    </w:p>
    <w:p>
      <w:pPr>
        <w:pStyle w:val="Heading2"/>
      </w:pPr>
      <w:r>
        <w:t>Step 4: Search 6-10 Salary Sources for Each Traditional Title</w:t>
      </w:r>
    </w:p>
    <w:p>
      <w:r>
        <w:t>For each traditional title identified in Step 3, search at least 6 salary sources. More sources = more confidence. For each source, record:</w:t>
        <w:br/>
        <w:t>- Source name and URL</w:t>
        <w:br/>
        <w:t>- Job title searched</w:t>
        <w:br/>
        <w:t>- Geography filter applied</w:t>
        <w:br/>
        <w:t>- Salary range (P25 / P50 / P75 if available)</w:t>
        <w:br/>
        <w:t>- Sample size (if disclosed)</w:t>
        <w:br/>
        <w:t>- Any notes on methodology or bias</w:t>
      </w:r>
    </w:p>
    <w:p>
      <w:r>
        <w:t>See the Source Reference Guide (Document 3) for reliability rankings and known biases of each source.</w:t>
      </w:r>
    </w:p>
    <w:p>
      <w:pPr>
        <w:pStyle w:val="Heading2"/>
      </w:pPr>
      <w:r>
        <w:t>Step 5: Calculate the Midpoint for Each Bucket</w:t>
      </w:r>
    </w:p>
    <w:p>
      <w:r>
        <w:t>For each duty bucket, review all source data and calculate a defensible midpoint. Methods:</w:t>
      </w:r>
    </w:p>
    <w:p>
      <w:pPr>
        <w:pStyle w:val="ListBullet"/>
      </w:pPr>
      <w:r>
        <w:t>If you have 6+ sources: Use the median of all midpoints (more robust than mean)</w:t>
      </w:r>
    </w:p>
    <w:p>
      <w:pPr>
        <w:pStyle w:val="ListBullet"/>
      </w:pPr>
      <w:r>
        <w:t>If you have 3-5 sources: Use the mean, but note the spread</w:t>
      </w:r>
    </w:p>
    <w:p>
      <w:pPr>
        <w:pStyle w:val="ListBullet"/>
      </w:pPr>
      <w:r>
        <w:t>If sources diverge significantly (&gt;20% spread): Investigate why and note the divergence</w:t>
      </w:r>
    </w:p>
    <w:p>
      <w:r>
        <w:t>Weight government sources (BLS, Job Bank Canada) and placement firm data (Robert Half) more heavily than self-reported data (Glassdoor, PayScale) when they disagree.</w:t>
      </w:r>
    </w:p>
    <w:p>
      <w:r>
        <w:t>Document your reasoning. The midpoint is a judgment call informed by data, not a mechanical average.</w:t>
      </w:r>
    </w:p>
    <w:p>
      <w:pPr>
        <w:pStyle w:val="Heading2"/>
      </w:pPr>
      <w:r>
        <w:t>Step 6: Compute the Duty-Weighted Blended Salary</w:t>
      </w:r>
    </w:p>
    <w:p>
      <w:r>
        <w:t>Multiply each bucket's midpoint by its weight and sum the results:</w:t>
      </w:r>
    </w:p>
    <w:p>
      <w:r>
        <w:t xml:space="preserve">Blended Salary = (Bucket 1 Midpoint x Weight 1) + (Bucket 2 Midpoint x Weight 2) + ... </w:t>
      </w:r>
    </w:p>
    <w:p>
      <w:r>
        <w:t>This produces the RAW blended salary before any adjustments. It represents what the market pays for the combination of duties this role performs, weighted by how much time each duty takes.</w:t>
      </w:r>
    </w:p>
    <w:p>
      <w:pPr>
        <w:pStyle w:val="Heading2"/>
      </w:pPr>
      <w:r>
        <w:t>Step 7: Apply Adjustments</w:t>
      </w:r>
    </w:p>
    <w:p>
      <w:r>
        <w:t>The raw blended salary needs adjustment for factors specific to this company, location, and role context. See Section 3 (Adjustment Framework) for the full list.</w:t>
      </w:r>
    </w:p>
    <w:p>
      <w:r>
        <w:t>Key principle: Document every adjustment with a rationale. If you cannot explain WHY an adjustment applies, do not apply it.</w:t>
      </w:r>
    </w:p>
    <w:p>
      <w:r>
        <w:t>Common net effects:</w:t>
        <w:br/>
        <w:t>- Small company, Tier 1 city, first hire: upward and downward adjustments roughly offset</w:t>
        <w:br/>
        <w:t>- Large company, Tier 2 city, replacement hire: net downward 5-10%</w:t>
        <w:br/>
        <w:t>- Small company, niche specialization, first hire: net upward 8-15%</w:t>
      </w:r>
    </w:p>
    <w:p>
      <w:pPr>
        <w:pStyle w:val="Heading2"/>
      </w:pPr>
      <w:r>
        <w:t>Step 8: Produce the Recommendation</w:t>
      </w:r>
    </w:p>
    <w:p>
      <w:r>
        <w:t>The final deliverable includes:</w:t>
      </w:r>
    </w:p>
    <w:p>
      <w:r>
        <w:t>1. Posting Range: P25 (minimum you should post) / P50 (target midpoint) / P75 (maximum for exceptional candidates)</w:t>
        <w:br/>
        <w:t>2. Recommended Base Salary Band: Typically P25-P75 as a range</w:t>
        <w:br/>
        <w:t>3. Total Cash Compensation: Base + target bonus (if applicable)</w:t>
        <w:br/>
        <w:t>4. Title-Based vs. Duty-Based Comparison: Show both numbers side by side</w:t>
        <w:br/>
        <w:t>5. Sources: Full list with URLs</w:t>
        <w:br/>
        <w:t>6. Honest Assessment: Where the data is strong, where it is thin, what you are less certain about</w:t>
      </w:r>
    </w:p>
    <w:p>
      <w:r>
        <w:t>See the Report Template (Document 2) for the standard deliverable format.</w:t>
      </w:r>
    </w:p>
    <w:p>
      <w:pPr>
        <w:pStyle w:val="Heading1"/>
      </w:pPr>
      <w:r>
        <w:t>Section 3: The Adjustment Framework</w:t>
      </w:r>
    </w:p>
    <w:p>
      <w:pPr>
        <w:pStyle w:val="Heading2"/>
      </w:pPr>
      <w:r>
        <w:t>Upward Adjustments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3A5C"/>
          </w:tcPr>
          <w:p>
            <w:pPr>
              <w:jc w:val="left"/>
            </w:pPr>
            <w:r/>
            <w:r>
              <w:rPr>
                <w:rFonts w:ascii="Calibri" w:hAnsi="Calibri"/>
                <w:b/>
                <w:color w:val="FFFFFF"/>
                <w:sz w:val="20"/>
              </w:rPr>
              <w:t>Factor</w:t>
            </w:r>
          </w:p>
        </w:tc>
        <w:tc>
          <w:tcPr>
            <w:tcW w:type="dxa" w:w="1296"/>
            <w:shd w:fill="1A3A5C"/>
          </w:tcPr>
          <w:p>
            <w:pPr>
              <w:jc w:val="left"/>
            </w:pPr>
            <w:r/>
            <w:r>
              <w:rPr>
                <w:rFonts w:ascii="Calibri" w:hAnsi="Calibri"/>
                <w:b/>
                <w:color w:val="FFFFFF"/>
                <w:sz w:val="20"/>
              </w:rPr>
              <w:t>Adjustment</w:t>
            </w:r>
          </w:p>
        </w:tc>
        <w:tc>
          <w:tcPr>
            <w:tcW w:type="dxa" w:w="2880"/>
            <w:shd w:fill="1A3A5C"/>
          </w:tcPr>
          <w:p>
            <w:pPr>
              <w:jc w:val="left"/>
            </w:pPr>
            <w:r/>
            <w:r>
              <w:rPr>
                <w:rFonts w:ascii="Calibri" w:hAnsi="Calibri"/>
                <w:b/>
                <w:color w:val="FFFFFF"/>
                <w:sz w:val="20"/>
              </w:rPr>
              <w:t>When to Apply</w:t>
            </w:r>
          </w:p>
        </w:tc>
        <w:tc>
          <w:tcPr>
            <w:tcW w:type="dxa" w:w="2880"/>
            <w:shd w:fill="1A3A5C"/>
          </w:tcPr>
          <w:p>
            <w:pPr>
              <w:jc w:val="left"/>
            </w:pPr>
            <w:r/>
            <w:r>
              <w:rPr>
                <w:rFonts w:ascii="Calibri" w:hAnsi="Calibri"/>
                <w:b/>
                <w:color w:val="FFFFFF"/>
                <w:sz w:val="20"/>
              </w:rPr>
              <w:t>Rationale</w:t>
            </w:r>
          </w:p>
        </w:tc>
      </w:tr>
      <w:tr>
        <w:tc>
          <w:tcPr>
            <w:tcW w:type="dxa" w:w="2160"/>
          </w:tcPr>
          <w:p>
            <w:r/>
            <w:r>
              <w:rPr>
                <w:rFonts w:ascii="Calibri" w:hAnsi="Calibri"/>
                <w:color w:val="333333"/>
                <w:sz w:val="20"/>
              </w:rPr>
              <w:t>First Hire / Build from Scratch</w:t>
            </w:r>
          </w:p>
        </w:tc>
        <w:tc>
          <w:tcPr>
            <w:tcW w:type="dxa" w:w="1296"/>
          </w:tcPr>
          <w:p>
            <w:r/>
            <w:r>
              <w:rPr>
                <w:rFonts w:ascii="Calibri" w:hAnsi="Calibri"/>
                <w:color w:val="333333"/>
                <w:sz w:val="20"/>
              </w:rPr>
              <w:t>+5-10%</w:t>
            </w:r>
          </w:p>
        </w:tc>
        <w:tc>
          <w:tcPr>
            <w:tcW w:type="dxa" w:w="2880"/>
          </w:tcPr>
          <w:p>
            <w:r/>
            <w:r>
              <w:rPr>
                <w:rFonts w:ascii="Calibri" w:hAnsi="Calibri"/>
                <w:color w:val="333333"/>
                <w:sz w:val="20"/>
              </w:rPr>
              <w:t>Role is new to the organization; no existing infrastructure, processes, or team to inherit</w:t>
            </w:r>
          </w:p>
        </w:tc>
        <w:tc>
          <w:tcPr>
            <w:tcW w:type="dxa" w:w="2880"/>
          </w:tcPr>
          <w:p>
            <w:r/>
            <w:r>
              <w:rPr>
                <w:rFonts w:ascii="Calibri" w:hAnsi="Calibri"/>
                <w:color w:val="333333"/>
                <w:sz w:val="20"/>
              </w:rPr>
              <w:t>First hires bear setup costs: building processes, selecting tools, establishing vendor relationships. This is more valuable than maintaining an existing function.</w:t>
            </w:r>
          </w:p>
        </w:tc>
      </w:tr>
      <w:tr>
        <w:tc>
          <w:tcPr>
            <w:tcW w:type="dxa" w:w="2160"/>
            <w:shd w:fill="F5F7FA"/>
          </w:tcPr>
          <w:p>
            <w:r/>
            <w:r>
              <w:rPr>
                <w:rFonts w:ascii="Calibri" w:hAnsi="Calibri"/>
                <w:color w:val="333333"/>
                <w:sz w:val="20"/>
              </w:rPr>
              <w:t>Niche Specialization</w:t>
            </w:r>
          </w:p>
        </w:tc>
        <w:tc>
          <w:tcPr>
            <w:tcW w:type="dxa" w:w="1296"/>
            <w:shd w:fill="F5F7FA"/>
          </w:tcPr>
          <w:p>
            <w:r/>
            <w:r>
              <w:rPr>
                <w:rFonts w:ascii="Calibri" w:hAnsi="Calibri"/>
                <w:color w:val="333333"/>
                <w:sz w:val="20"/>
              </w:rPr>
              <w:t>+3-8%</w:t>
            </w:r>
          </w:p>
        </w:tc>
        <w:tc>
          <w:tcPr>
            <w:tcW w:type="dxa" w:w="2880"/>
            <w:shd w:fill="F5F7FA"/>
          </w:tcPr>
          <w:p>
            <w:r/>
            <w:r>
              <w:rPr>
                <w:rFonts w:ascii="Calibri" w:hAnsi="Calibri"/>
                <w:color w:val="333333"/>
                <w:sz w:val="20"/>
              </w:rPr>
              <w:t>Thin talent pool (e.g., affordable housing compliance, Salesforce CPQ, HVAC controls engineering)</w:t>
            </w:r>
          </w:p>
        </w:tc>
        <w:tc>
          <w:tcPr>
            <w:tcW w:type="dxa" w:w="2880"/>
            <w:shd w:fill="F5F7FA"/>
          </w:tcPr>
          <w:p>
            <w:r/>
            <w:r>
              <w:rPr>
                <w:rFonts w:ascii="Calibri" w:hAnsi="Calibri"/>
                <w:color w:val="333333"/>
                <w:sz w:val="20"/>
              </w:rPr>
              <w:t>Supply/demand: fewer qualified candidates = higher price. Verify by checking job posting volume vs. candidate availability.</w:t>
            </w:r>
          </w:p>
        </w:tc>
      </w:tr>
      <w:tr>
        <w:tc>
          <w:tcPr>
            <w:tcW w:type="dxa" w:w="2160"/>
          </w:tcPr>
          <w:p>
            <w:r/>
            <w:r>
              <w:rPr>
                <w:rFonts w:ascii="Calibri" w:hAnsi="Calibri"/>
                <w:color w:val="333333"/>
                <w:sz w:val="20"/>
              </w:rPr>
              <w:t>Tech Company Premium</w:t>
            </w:r>
          </w:p>
        </w:tc>
        <w:tc>
          <w:tcPr>
            <w:tcW w:type="dxa" w:w="1296"/>
          </w:tcPr>
          <w:p>
            <w:r/>
            <w:r>
              <w:rPr>
                <w:rFonts w:ascii="Calibri" w:hAnsi="Calibri"/>
                <w:color w:val="333333"/>
                <w:sz w:val="20"/>
              </w:rPr>
              <w:t>+5-8%</w:t>
            </w:r>
          </w:p>
        </w:tc>
        <w:tc>
          <w:tcPr>
            <w:tcW w:type="dxa" w:w="2880"/>
          </w:tcPr>
          <w:p>
            <w:r/>
            <w:r>
              <w:rPr>
                <w:rFonts w:ascii="Calibri" w:hAnsi="Calibri"/>
                <w:color w:val="333333"/>
                <w:sz w:val="20"/>
              </w:rPr>
              <w:t>Company is a technology firm competing for talent against other tech companies</w:t>
            </w:r>
          </w:p>
        </w:tc>
        <w:tc>
          <w:tcPr>
            <w:tcW w:type="dxa" w:w="2880"/>
          </w:tcPr>
          <w:p>
            <w:r/>
            <w:r>
              <w:rPr>
                <w:rFonts w:ascii="Calibri" w:hAnsi="Calibri"/>
                <w:color w:val="333333"/>
                <w:sz w:val="20"/>
              </w:rPr>
              <w:t>Tech companies typically pay above-market to attract talent from a competitive talent pool.</w:t>
            </w:r>
          </w:p>
        </w:tc>
      </w:tr>
      <w:tr>
        <w:tc>
          <w:tcPr>
            <w:tcW w:type="dxa" w:w="2160"/>
            <w:shd w:fill="F5F7FA"/>
          </w:tcPr>
          <w:p>
            <w:r/>
            <w:r>
              <w:rPr>
                <w:rFonts w:ascii="Calibri" w:hAnsi="Calibri"/>
                <w:color w:val="333333"/>
                <w:sz w:val="20"/>
              </w:rPr>
              <w:t>Role Integration Premium</w:t>
            </w:r>
          </w:p>
        </w:tc>
        <w:tc>
          <w:tcPr>
            <w:tcW w:type="dxa" w:w="1296"/>
            <w:shd w:fill="F5F7FA"/>
          </w:tcPr>
          <w:p>
            <w:r/>
            <w:r>
              <w:rPr>
                <w:rFonts w:ascii="Calibri" w:hAnsi="Calibri"/>
                <w:color w:val="333333"/>
                <w:sz w:val="20"/>
              </w:rPr>
              <w:t>+5-8%</w:t>
            </w:r>
          </w:p>
        </w:tc>
        <w:tc>
          <w:tcPr>
            <w:tcW w:type="dxa" w:w="2880"/>
            <w:shd w:fill="F5F7FA"/>
          </w:tcPr>
          <w:p>
            <w:r/>
            <w:r>
              <w:rPr>
                <w:rFonts w:ascii="Calibri" w:hAnsi="Calibri"/>
                <w:color w:val="333333"/>
                <w:sz w:val="20"/>
              </w:rPr>
              <w:t>Role combines duties that are typically separate positions (e.g., HR + Payroll + Benefits in one person)</w:t>
            </w:r>
          </w:p>
        </w:tc>
        <w:tc>
          <w:tcPr>
            <w:tcW w:type="dxa" w:w="2880"/>
            <w:shd w:fill="F5F7FA"/>
          </w:tcPr>
          <w:p>
            <w:r/>
            <w:r>
              <w:rPr>
                <w:rFonts w:ascii="Calibri" w:hAnsi="Calibri"/>
                <w:color w:val="333333"/>
                <w:sz w:val="20"/>
              </w:rPr>
              <w:t>Integration complexity: the person must be competent across multiple domains simultaneously. Finding this combination is harder.</w:t>
            </w:r>
          </w:p>
        </w:tc>
      </w:tr>
      <w:tr>
        <w:tc>
          <w:tcPr>
            <w:tcW w:type="dxa" w:w="2160"/>
          </w:tcPr>
          <w:p>
            <w:r/>
            <w:r>
              <w:rPr>
                <w:rFonts w:ascii="Calibri" w:hAnsi="Calibri"/>
                <w:color w:val="333333"/>
                <w:sz w:val="20"/>
              </w:rPr>
              <w:t>Certification Premiums</w:t>
            </w:r>
          </w:p>
        </w:tc>
        <w:tc>
          <w:tcPr>
            <w:tcW w:type="dxa" w:w="1296"/>
          </w:tcPr>
          <w:p>
            <w:r/>
            <w:r>
              <w:rPr>
                <w:rFonts w:ascii="Calibri" w:hAnsi="Calibri"/>
                <w:color w:val="333333"/>
                <w:sz w:val="20"/>
              </w:rPr>
              <w:t>Varies</w:t>
            </w:r>
          </w:p>
        </w:tc>
        <w:tc>
          <w:tcPr>
            <w:tcW w:type="dxa" w:w="2880"/>
          </w:tcPr>
          <w:p>
            <w:r/>
            <w:r>
              <w:rPr>
                <w:rFonts w:ascii="Calibri" w:hAnsi="Calibri"/>
                <w:color w:val="333333"/>
                <w:sz w:val="20"/>
              </w:rPr>
              <w:t>Role requires or strongly prefers specific certifications (CPA, PMP, Red Seal, etc.)</w:t>
            </w:r>
          </w:p>
        </w:tc>
        <w:tc>
          <w:tcPr>
            <w:tcW w:type="dxa" w:w="2880"/>
          </w:tcPr>
          <w:p>
            <w:r/>
            <w:r>
              <w:rPr>
                <w:rFonts w:ascii="Calibri" w:hAnsi="Calibri"/>
                <w:color w:val="333333"/>
                <w:sz w:val="20"/>
              </w:rPr>
              <w:t>See Adjustment Cheat Sheet (Document 4) for specific certification premiums by geography.</w:t>
            </w:r>
          </w:p>
        </w:tc>
      </w:tr>
      <w:tr>
        <w:tc>
          <w:tcPr>
            <w:tcW w:type="dxa" w:w="2160"/>
            <w:shd w:fill="F5F7FA"/>
          </w:tcPr>
          <w:p>
            <w:r/>
            <w:r>
              <w:rPr>
                <w:rFonts w:ascii="Calibri" w:hAnsi="Calibri"/>
                <w:color w:val="333333"/>
                <w:sz w:val="20"/>
              </w:rPr>
              <w:t>Player-Coach</w:t>
            </w:r>
          </w:p>
        </w:tc>
        <w:tc>
          <w:tcPr>
            <w:tcW w:type="dxa" w:w="1296"/>
            <w:shd w:fill="F5F7FA"/>
          </w:tcPr>
          <w:p>
            <w:r/>
            <w:r>
              <w:rPr>
                <w:rFonts w:ascii="Calibri" w:hAnsi="Calibri"/>
                <w:color w:val="333333"/>
                <w:sz w:val="20"/>
              </w:rPr>
              <w:t>+5-8%</w:t>
            </w:r>
          </w:p>
        </w:tc>
        <w:tc>
          <w:tcPr>
            <w:tcW w:type="dxa" w:w="2880"/>
            <w:shd w:fill="F5F7FA"/>
          </w:tcPr>
          <w:p>
            <w:r/>
            <w:r>
              <w:rPr>
                <w:rFonts w:ascii="Calibri" w:hAnsi="Calibri"/>
                <w:color w:val="333333"/>
                <w:sz w:val="20"/>
              </w:rPr>
              <w:t>Person both does the work AND manages a team</w:t>
            </w:r>
          </w:p>
        </w:tc>
        <w:tc>
          <w:tcPr>
            <w:tcW w:type="dxa" w:w="2880"/>
            <w:shd w:fill="F5F7FA"/>
          </w:tcPr>
          <w:p>
            <w:r/>
            <w:r>
              <w:rPr>
                <w:rFonts w:ascii="Calibri" w:hAnsi="Calibri"/>
                <w:color w:val="333333"/>
                <w:sz w:val="20"/>
              </w:rPr>
              <w:t>Dual accountability: individual contribution AND people management. More demanding than either alone.</w:t>
            </w:r>
          </w:p>
        </w:tc>
      </w:tr>
      <w:tr>
        <w:tc>
          <w:tcPr>
            <w:tcW w:type="dxa" w:w="2160"/>
          </w:tcPr>
          <w:p>
            <w:r/>
            <w:r>
              <w:rPr>
                <w:rFonts w:ascii="Calibri" w:hAnsi="Calibri"/>
                <w:color w:val="333333"/>
                <w:sz w:val="20"/>
              </w:rPr>
              <w:t>Bilingual Requirement</w:t>
            </w:r>
          </w:p>
        </w:tc>
        <w:tc>
          <w:tcPr>
            <w:tcW w:type="dxa" w:w="1296"/>
          </w:tcPr>
          <w:p>
            <w:r/>
            <w:r>
              <w:rPr>
                <w:rFonts w:ascii="Calibri" w:hAnsi="Calibri"/>
                <w:color w:val="333333"/>
                <w:sz w:val="20"/>
              </w:rPr>
              <w:t>+5-10%</w:t>
            </w:r>
          </w:p>
        </w:tc>
        <w:tc>
          <w:tcPr>
            <w:tcW w:type="dxa" w:w="2880"/>
          </w:tcPr>
          <w:p>
            <w:r/>
            <w:r>
              <w:rPr>
                <w:rFonts w:ascii="Calibri" w:hAnsi="Calibri"/>
                <w:color w:val="333333"/>
                <w:sz w:val="20"/>
              </w:rPr>
              <w:t>Role requires fluency in two languages (especially English/French in Canada)</w:t>
            </w:r>
          </w:p>
        </w:tc>
        <w:tc>
          <w:tcPr>
            <w:tcW w:type="dxa" w:w="2880"/>
          </w:tcPr>
          <w:p>
            <w:r/>
            <w:r>
              <w:rPr>
                <w:rFonts w:ascii="Calibri" w:hAnsi="Calibri"/>
                <w:color w:val="333333"/>
                <w:sz w:val="20"/>
              </w:rPr>
              <w:t>Bilingual candidates are scarcer and command a premium, particularly in federal or Quebec-adjacent markets.</w:t>
            </w:r>
          </w:p>
        </w:tc>
      </w:tr>
    </w:tbl>
    <w:p/>
    <w:p>
      <w:pPr>
        <w:pStyle w:val="Heading2"/>
      </w:pPr>
      <w:r>
        <w:t>Downward Adjustments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3A5C"/>
          </w:tcPr>
          <w:p>
            <w:pPr>
              <w:jc w:val="left"/>
            </w:pPr>
            <w:r/>
            <w:r>
              <w:rPr>
                <w:rFonts w:ascii="Calibri" w:hAnsi="Calibri"/>
                <w:b/>
                <w:color w:val="FFFFFF"/>
                <w:sz w:val="20"/>
              </w:rPr>
              <w:t>Factor</w:t>
            </w:r>
          </w:p>
        </w:tc>
        <w:tc>
          <w:tcPr>
            <w:tcW w:type="dxa" w:w="1296"/>
            <w:shd w:fill="1A3A5C"/>
          </w:tcPr>
          <w:p>
            <w:pPr>
              <w:jc w:val="left"/>
            </w:pPr>
            <w:r/>
            <w:r>
              <w:rPr>
                <w:rFonts w:ascii="Calibri" w:hAnsi="Calibri"/>
                <w:b/>
                <w:color w:val="FFFFFF"/>
                <w:sz w:val="20"/>
              </w:rPr>
              <w:t>Adjustment</w:t>
            </w:r>
          </w:p>
        </w:tc>
        <w:tc>
          <w:tcPr>
            <w:tcW w:type="dxa" w:w="2880"/>
            <w:shd w:fill="1A3A5C"/>
          </w:tcPr>
          <w:p>
            <w:pPr>
              <w:jc w:val="left"/>
            </w:pPr>
            <w:r/>
            <w:r>
              <w:rPr>
                <w:rFonts w:ascii="Calibri" w:hAnsi="Calibri"/>
                <w:b/>
                <w:color w:val="FFFFFF"/>
                <w:sz w:val="20"/>
              </w:rPr>
              <w:t>When to Apply</w:t>
            </w:r>
          </w:p>
        </w:tc>
        <w:tc>
          <w:tcPr>
            <w:tcW w:type="dxa" w:w="2880"/>
            <w:shd w:fill="1A3A5C"/>
          </w:tcPr>
          <w:p>
            <w:pPr>
              <w:jc w:val="left"/>
            </w:pPr>
            <w:r/>
            <w:r>
              <w:rPr>
                <w:rFonts w:ascii="Calibri" w:hAnsi="Calibri"/>
                <w:b/>
                <w:color w:val="FFFFFF"/>
                <w:sz w:val="20"/>
              </w:rPr>
              <w:t>Rationale</w:t>
            </w:r>
          </w:p>
        </w:tc>
      </w:tr>
      <w:tr>
        <w:tc>
          <w:tcPr>
            <w:tcW w:type="dxa" w:w="2160"/>
          </w:tcPr>
          <w:p>
            <w:r/>
            <w:r>
              <w:rPr>
                <w:rFonts w:ascii="Calibri" w:hAnsi="Calibri"/>
                <w:color w:val="333333"/>
                <w:sz w:val="20"/>
              </w:rPr>
              <w:t>Small Company Size</w:t>
            </w:r>
          </w:p>
        </w:tc>
        <w:tc>
          <w:tcPr>
            <w:tcW w:type="dxa" w:w="1296"/>
          </w:tcPr>
          <w:p>
            <w:r/>
            <w:r>
              <w:rPr>
                <w:rFonts w:ascii="Calibri" w:hAnsi="Calibri"/>
                <w:color w:val="333333"/>
                <w:sz w:val="20"/>
              </w:rPr>
              <w:t>-5 to -15%</w:t>
            </w:r>
          </w:p>
        </w:tc>
        <w:tc>
          <w:tcPr>
            <w:tcW w:type="dxa" w:w="2880"/>
          </w:tcPr>
          <w:p>
            <w:r/>
            <w:r>
              <w:rPr>
                <w:rFonts w:ascii="Calibri" w:hAnsi="Calibri"/>
                <w:color w:val="333333"/>
                <w:sz w:val="20"/>
              </w:rPr>
              <w:t>Company has fewer than 200 employees</w:t>
            </w:r>
          </w:p>
        </w:tc>
        <w:tc>
          <w:tcPr>
            <w:tcW w:type="dxa" w:w="2880"/>
          </w:tcPr>
          <w:p>
            <w:r/>
            <w:r>
              <w:rPr>
                <w:rFonts w:ascii="Calibri" w:hAnsi="Calibri"/>
                <w:color w:val="333333"/>
                <w:sz w:val="20"/>
              </w:rPr>
              <w:t>Smaller companies typically pay less than enterprise data suggests. Most salary databases over-represent large companies.</w:t>
            </w:r>
          </w:p>
        </w:tc>
      </w:tr>
      <w:tr>
        <w:tc>
          <w:tcPr>
            <w:tcW w:type="dxa" w:w="2160"/>
            <w:shd w:fill="F5F7FA"/>
          </w:tcPr>
          <w:p>
            <w:r/>
            <w:r>
              <w:rPr>
                <w:rFonts w:ascii="Calibri" w:hAnsi="Calibri"/>
                <w:color w:val="333333"/>
                <w:sz w:val="20"/>
              </w:rPr>
              <w:t>Below-Tier-1 Location</w:t>
            </w:r>
          </w:p>
        </w:tc>
        <w:tc>
          <w:tcPr>
            <w:tcW w:type="dxa" w:w="1296"/>
            <w:shd w:fill="F5F7FA"/>
          </w:tcPr>
          <w:p>
            <w:r/>
            <w:r>
              <w:rPr>
                <w:rFonts w:ascii="Calibri" w:hAnsi="Calibri"/>
                <w:color w:val="333333"/>
                <w:sz w:val="20"/>
              </w:rPr>
              <w:t>-5 to -12%</w:t>
            </w:r>
          </w:p>
        </w:tc>
        <w:tc>
          <w:tcPr>
            <w:tcW w:type="dxa" w:w="2880"/>
            <w:shd w:fill="F5F7FA"/>
          </w:tcPr>
          <w:p>
            <w:r/>
            <w:r>
              <w:rPr>
                <w:rFonts w:ascii="Calibri" w:hAnsi="Calibri"/>
                <w:color w:val="333333"/>
                <w:sz w:val="20"/>
              </w:rPr>
              <w:t>Role is in a secondary or tertiary market (not NYC, SF, Toronto, Vancouver, London)</w:t>
            </w:r>
          </w:p>
        </w:tc>
        <w:tc>
          <w:tcPr>
            <w:tcW w:type="dxa" w:w="2880"/>
            <w:shd w:fill="F5F7FA"/>
          </w:tcPr>
          <w:p>
            <w:r/>
            <w:r>
              <w:rPr>
                <w:rFonts w:ascii="Calibri" w:hAnsi="Calibri"/>
                <w:color w:val="333333"/>
                <w:sz w:val="20"/>
              </w:rPr>
              <w:t>Cost of living and local market rates are lower. Even remote roles in these markets may pay less.</w:t>
            </w:r>
          </w:p>
        </w:tc>
      </w:tr>
      <w:tr>
        <w:tc>
          <w:tcPr>
            <w:tcW w:type="dxa" w:w="2160"/>
          </w:tcPr>
          <w:p>
            <w:r/>
            <w:r>
              <w:rPr>
                <w:rFonts w:ascii="Calibri" w:hAnsi="Calibri"/>
                <w:color w:val="333333"/>
                <w:sz w:val="20"/>
              </w:rPr>
              <w:t>Nonprofit / Mission-Driven</w:t>
            </w:r>
          </w:p>
        </w:tc>
        <w:tc>
          <w:tcPr>
            <w:tcW w:type="dxa" w:w="1296"/>
          </w:tcPr>
          <w:p>
            <w:r/>
            <w:r>
              <w:rPr>
                <w:rFonts w:ascii="Calibri" w:hAnsi="Calibri"/>
                <w:color w:val="333333"/>
                <w:sz w:val="20"/>
              </w:rPr>
              <w:t>-5 to -10%</w:t>
            </w:r>
          </w:p>
        </w:tc>
        <w:tc>
          <w:tcPr>
            <w:tcW w:type="dxa" w:w="2880"/>
          </w:tcPr>
          <w:p>
            <w:r/>
            <w:r>
              <w:rPr>
                <w:rFonts w:ascii="Calibri" w:hAnsi="Calibri"/>
                <w:color w:val="333333"/>
                <w:sz w:val="20"/>
              </w:rPr>
              <w:t>Organization is a nonprofit, charity, or mission-driven entity</w:t>
            </w:r>
          </w:p>
        </w:tc>
        <w:tc>
          <w:tcPr>
            <w:tcW w:type="dxa" w:w="2880"/>
          </w:tcPr>
          <w:p>
            <w:r/>
            <w:r>
              <w:rPr>
                <w:rFonts w:ascii="Calibri" w:hAnsi="Calibri"/>
                <w:color w:val="333333"/>
                <w:sz w:val="20"/>
              </w:rPr>
              <w:t>Mission-driven organizations typically pay below market; candidates accept the trade-off for purpose alignment.</w:t>
            </w:r>
          </w:p>
        </w:tc>
      </w:tr>
      <w:tr>
        <w:tc>
          <w:tcPr>
            <w:tcW w:type="dxa" w:w="2160"/>
            <w:shd w:fill="F5F7FA"/>
          </w:tcPr>
          <w:p>
            <w:r/>
            <w:r>
              <w:rPr>
                <w:rFonts w:ascii="Calibri" w:hAnsi="Calibri"/>
                <w:color w:val="333333"/>
                <w:sz w:val="20"/>
              </w:rPr>
              <w:t>IC vs. Manager Title</w:t>
            </w:r>
          </w:p>
        </w:tc>
        <w:tc>
          <w:tcPr>
            <w:tcW w:type="dxa" w:w="1296"/>
            <w:shd w:fill="F5F7FA"/>
          </w:tcPr>
          <w:p>
            <w:r/>
            <w:r>
              <w:rPr>
                <w:rFonts w:ascii="Calibri" w:hAnsi="Calibri"/>
                <w:color w:val="333333"/>
                <w:sz w:val="20"/>
              </w:rPr>
              <w:t>-3 to -5%</w:t>
            </w:r>
          </w:p>
        </w:tc>
        <w:tc>
          <w:tcPr>
            <w:tcW w:type="dxa" w:w="2880"/>
            <w:shd w:fill="F5F7FA"/>
          </w:tcPr>
          <w:p>
            <w:r/>
            <w:r>
              <w:rPr>
                <w:rFonts w:ascii="Calibri" w:hAnsi="Calibri"/>
                <w:color w:val="333333"/>
                <w:sz w:val="20"/>
              </w:rPr>
              <w:t>Title says 'Manager' but role has no direct reports</w:t>
            </w:r>
          </w:p>
        </w:tc>
        <w:tc>
          <w:tcPr>
            <w:tcW w:type="dxa" w:w="2880"/>
            <w:shd w:fill="F5F7FA"/>
          </w:tcPr>
          <w:p>
            <w:r/>
            <w:r>
              <w:rPr>
                <w:rFonts w:ascii="Calibri" w:hAnsi="Calibri"/>
                <w:color w:val="333333"/>
                <w:sz w:val="20"/>
              </w:rPr>
              <w:t>Individual contributor roles with manager titles are common but should be priced as ICs with a slight title premium.</w:t>
            </w:r>
          </w:p>
        </w:tc>
      </w:tr>
      <w:tr>
        <w:tc>
          <w:tcPr>
            <w:tcW w:type="dxa" w:w="2160"/>
          </w:tcPr>
          <w:p>
            <w:r/>
            <w:r>
              <w:rPr>
                <w:rFonts w:ascii="Calibri" w:hAnsi="Calibri"/>
                <w:color w:val="333333"/>
                <w:sz w:val="20"/>
              </w:rPr>
              <w:t>No Direct Reports</w:t>
            </w:r>
          </w:p>
        </w:tc>
        <w:tc>
          <w:tcPr>
            <w:tcW w:type="dxa" w:w="1296"/>
          </w:tcPr>
          <w:p>
            <w:r/>
            <w:r>
              <w:rPr>
                <w:rFonts w:ascii="Calibri" w:hAnsi="Calibri"/>
                <w:color w:val="333333"/>
                <w:sz w:val="20"/>
              </w:rPr>
              <w:t>-3 to -5%</w:t>
            </w:r>
          </w:p>
        </w:tc>
        <w:tc>
          <w:tcPr>
            <w:tcW w:type="dxa" w:w="2880"/>
          </w:tcPr>
          <w:p>
            <w:r/>
            <w:r>
              <w:rPr>
                <w:rFonts w:ascii="Calibri" w:hAnsi="Calibri"/>
                <w:color w:val="333333"/>
                <w:sz w:val="20"/>
              </w:rPr>
              <w:t>Role description lacks people management responsibilities</w:t>
            </w:r>
          </w:p>
        </w:tc>
        <w:tc>
          <w:tcPr>
            <w:tcW w:type="dxa" w:w="2880"/>
          </w:tcPr>
          <w:p>
            <w:r/>
            <w:r>
              <w:rPr>
                <w:rFonts w:ascii="Calibri" w:hAnsi="Calibri"/>
                <w:color w:val="333333"/>
                <w:sz w:val="20"/>
              </w:rPr>
              <w:t>People management responsibilities typically add 5-10% to a role's market value. Absence of this duty = lower value.</w:t>
            </w:r>
          </w:p>
        </w:tc>
      </w:tr>
      <w:tr>
        <w:tc>
          <w:tcPr>
            <w:tcW w:type="dxa" w:w="2160"/>
            <w:shd w:fill="F5F7FA"/>
          </w:tcPr>
          <w:p>
            <w:r/>
            <w:r>
              <w:rPr>
                <w:rFonts w:ascii="Calibri" w:hAnsi="Calibri"/>
                <w:color w:val="333333"/>
                <w:sz w:val="20"/>
              </w:rPr>
              <w:t>Established Function</w:t>
            </w:r>
          </w:p>
        </w:tc>
        <w:tc>
          <w:tcPr>
            <w:tcW w:type="dxa" w:w="1296"/>
            <w:shd w:fill="F5F7FA"/>
          </w:tcPr>
          <w:p>
            <w:r/>
            <w:r>
              <w:rPr>
                <w:rFonts w:ascii="Calibri" w:hAnsi="Calibri"/>
                <w:color w:val="333333"/>
                <w:sz w:val="20"/>
              </w:rPr>
              <w:t>-3 to -5%</w:t>
            </w:r>
          </w:p>
        </w:tc>
        <w:tc>
          <w:tcPr>
            <w:tcW w:type="dxa" w:w="2880"/>
            <w:shd w:fill="F5F7FA"/>
          </w:tcPr>
          <w:p>
            <w:r/>
            <w:r>
              <w:rPr>
                <w:rFonts w:ascii="Calibri" w:hAnsi="Calibri"/>
                <w:color w:val="333333"/>
                <w:sz w:val="20"/>
              </w:rPr>
              <w:t>Replacing an existing employee; function is already built</w:t>
            </w:r>
          </w:p>
        </w:tc>
        <w:tc>
          <w:tcPr>
            <w:tcW w:type="dxa" w:w="2880"/>
            <w:shd w:fill="F5F7FA"/>
          </w:tcPr>
          <w:p>
            <w:r/>
            <w:r>
              <w:rPr>
                <w:rFonts w:ascii="Calibri" w:hAnsi="Calibri"/>
                <w:color w:val="333333"/>
                <w:sz w:val="20"/>
              </w:rPr>
              <w:t>Maintenance is less valuable than building. The new hire inherits processes, tools, and team knowledge.</w:t>
            </w:r>
          </w:p>
        </w:tc>
      </w:tr>
    </w:tbl>
    <w:p/>
    <w:p>
      <w:pPr>
        <w:pStyle w:val="Heading2"/>
      </w:pPr>
      <w:r>
        <w:t>Net Effect Guidance</w:t>
      </w:r>
    </w:p>
    <w:p>
      <w:r>
        <w:t>In practice, upward and downward adjustments frequently offset each other. A small company in Toronto hiring its first HR Manager might see: -10% (small company) + 7% (Tier 1 city) + 8% (first hire) = net +5%. Document each adjustment separately so the client can see the reasoning, even when the net is small.</w:t>
      </w:r>
    </w:p>
    <w:p>
      <w:pPr>
        <w:pStyle w:val="Heading1"/>
      </w:pPr>
      <w:r>
        <w:t>Section 4: Common Pitfalls</w:t>
      </w:r>
    </w:p>
    <w:p>
      <w:pPr>
        <w:pStyle w:val="Heading2"/>
      </w:pPr>
      <w:r>
        <w:t>Double-Dipping Premiums</w:t>
      </w:r>
    </w:p>
    <w:p>
      <w:r>
        <w:t>Applying a first-hire premium (+8%) on top of salary data that already includes first-hire scenarios. Check whether your source data distinguishes between new and replacement hires. If it does not (most do not), apply the premium more conservatively (+3-5%).</w:t>
      </w:r>
    </w:p>
    <w:p>
      <w:pPr>
        <w:pStyle w:val="Heading2"/>
      </w:pPr>
      <w:r>
        <w:t>Using National Data for a Local Role</w:t>
      </w:r>
    </w:p>
    <w:p>
      <w:r>
        <w:t>National averages are meaningless for a role in Saskatoon or Tulsa. Always filter by geography first. If local data is unavailable, use provincial/state data with a local adjustment, and note the limitation in your report.</w:t>
      </w:r>
    </w:p>
    <w:p>
      <w:pPr>
        <w:pStyle w:val="Heading2"/>
      </w:pPr>
      <w:r>
        <w:t>Not Adjusting for Company Size</w:t>
      </w:r>
    </w:p>
    <w:p>
      <w:r>
        <w:t>Glassdoor and Indeed averages include data from Google, Amazon, and 10-person startups in the same average. A $95K average for 'Business Analyst' means something very different at a Fortune 500 vs. a 30-person company. Always apply company size adjustment.</w:t>
      </w:r>
    </w:p>
    <w:p>
      <w:pPr>
        <w:pStyle w:val="Heading2"/>
      </w:pPr>
      <w:r>
        <w:t>Ignoring the 'Who Is in the Database' Question</w:t>
      </w:r>
    </w:p>
    <w:p>
      <w:r>
        <w:t>Ask: Are these self-reported salaries (biased high)? HR-verified survey data (most accurate)? Job posting ranges (reflect what companies WANT to pay, not what they DO pay)? Each has different biases.</w:t>
      </w:r>
    </w:p>
    <w:p>
      <w:pPr>
        <w:pStyle w:val="Heading2"/>
      </w:pPr>
      <w:r>
        <w:t>Title Inflation</w:t>
      </w:r>
    </w:p>
    <w:p>
      <w:r>
        <w:t>'Senior' in a 5-person company does not equal 'Senior' at a 5,000-person company. A 'Director' at a startup may be equivalent to a 'Manager' at an enterprise. When decomposing duties, look at WHAT the person does, not what the title says.</w:t>
      </w:r>
    </w:p>
    <w:p>
      <w:pPr>
        <w:pStyle w:val="Heading2"/>
      </w:pPr>
      <w:r>
        <w:t>Averaging Instead of Triangulating</w:t>
      </w:r>
    </w:p>
    <w:p>
      <w:r>
        <w:t>Taking the arithmetic mean of 8 sources treats ZipRecruiter (which consistently runs low) the same as BLS data (which is government-verified). Weight sources by reliability, not equally.</w:t>
      </w:r>
    </w:p>
    <w:p>
      <w:pPr>
        <w:pStyle w:val="Heading2"/>
      </w:pPr>
      <w:r>
        <w:t>Ignoring Total Compensation</w:t>
      </w:r>
    </w:p>
    <w:p>
      <w:r>
        <w:t>A role paying $95K base with 15% bonus target ($109K total cash) is more competitive than a role paying $105K base with no bonus. Always present total cash compensation alongside base salary.</w:t>
      </w:r>
    </w:p>
    <w:p>
      <w:pPr>
        <w:pStyle w:val="Heading2"/>
      </w:pPr>
      <w:r>
        <w:t>Presenting a Single Number</w:t>
      </w:r>
    </w:p>
    <w:p>
      <w:r>
        <w:t>Never present a single salary recommendation. Always present a range (P25/P50/P75 minimum) with context for where in the range to target based on candidate experience and qualifications.</w:t>
      </w:r>
    </w:p>
    <w:p>
      <w:pPr>
        <w:pStyle w:val="Heading1"/>
      </w:pPr>
      <w:r>
        <w:t>Section 5: When to Use Paid Survey Data</w:t>
      </w:r>
    </w:p>
    <w:p>
      <w:r>
        <w:t>Not every engagement requires paid compensation survey data. The decision depends on the scope, stakes, and defensibility requirements of the project.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3A5C"/>
          </w:tcPr>
          <w:p>
            <w:pPr>
              <w:jc w:val="left"/>
            </w:pPr>
            <w:r/>
            <w:r>
              <w:rPr>
                <w:rFonts w:ascii="Calibri" w:hAnsi="Calibri"/>
                <w:b/>
                <w:color w:val="FFFFFF"/>
                <w:sz w:val="20"/>
              </w:rPr>
              <w:t>Scenario</w:t>
            </w:r>
          </w:p>
        </w:tc>
        <w:tc>
          <w:tcPr>
            <w:tcW w:type="dxa" w:w="3168"/>
            <w:shd w:fill="1A3A5C"/>
          </w:tcPr>
          <w:p>
            <w:pPr>
              <w:jc w:val="left"/>
            </w:pPr>
            <w:r/>
            <w:r>
              <w:rPr>
                <w:rFonts w:ascii="Calibri" w:hAnsi="Calibri"/>
                <w:b/>
                <w:color w:val="FFFFFF"/>
                <w:sz w:val="20"/>
              </w:rPr>
              <w:t>Data Source Recommendation</w:t>
            </w:r>
          </w:p>
        </w:tc>
        <w:tc>
          <w:tcPr>
            <w:tcW w:type="dxa" w:w="3600"/>
            <w:shd w:fill="1A3A5C"/>
          </w:tcPr>
          <w:p>
            <w:pPr>
              <w:jc w:val="left"/>
            </w:pPr>
            <w:r/>
            <w:r>
              <w:rPr>
                <w:rFonts w:ascii="Calibri" w:hAnsi="Calibri"/>
                <w:b/>
                <w:color w:val="FFFFFF"/>
                <w:sz w:val="20"/>
              </w:rPr>
              <w:t>Rationale</w:t>
            </w:r>
          </w:p>
        </w:tc>
      </w:tr>
      <w:tr>
        <w:tc>
          <w:tcPr>
            <w:tcW w:type="dxa" w:w="2592"/>
          </w:tcPr>
          <w:p>
            <w:r/>
            <w:r>
              <w:rPr>
                <w:rFonts w:ascii="Calibri" w:hAnsi="Calibri"/>
                <w:color w:val="333333"/>
                <w:sz w:val="20"/>
              </w:rPr>
              <w:t>Single role benchmarking</w:t>
            </w:r>
          </w:p>
        </w:tc>
        <w:tc>
          <w:tcPr>
            <w:tcW w:type="dxa" w:w="3168"/>
          </w:tcPr>
          <w:p>
            <w:r/>
            <w:r>
              <w:rPr>
                <w:rFonts w:ascii="Calibri" w:hAnsi="Calibri"/>
                <w:color w:val="333333"/>
                <w:sz w:val="20"/>
              </w:rPr>
              <w:t>Publicly available data with proper methodology</w:t>
            </w:r>
          </w:p>
        </w:tc>
        <w:tc>
          <w:tcPr>
            <w:tcW w:type="dxa" w:w="3600"/>
          </w:tcPr>
          <w:p>
            <w:r/>
            <w:r>
              <w:rPr>
                <w:rFonts w:ascii="Calibri" w:hAnsi="Calibri"/>
                <w:color w:val="333333"/>
                <w:sz w:val="20"/>
              </w:rPr>
              <w:t>Sufficient accuracy for one-off hiring decisions when 6+ public sources are used with duty-based methodology</w:t>
            </w:r>
          </w:p>
        </w:tc>
      </w:tr>
      <w:tr>
        <w:tc>
          <w:tcPr>
            <w:tcW w:type="dxa" w:w="2592"/>
            <w:shd w:fill="F5F7FA"/>
          </w:tcPr>
          <w:p>
            <w:r/>
            <w:r>
              <w:rPr>
                <w:rFonts w:ascii="Calibri" w:hAnsi="Calibri"/>
                <w:color w:val="333333"/>
                <w:sz w:val="20"/>
              </w:rPr>
              <w:t>Full comp framework (10+ roles)</w:t>
            </w:r>
          </w:p>
        </w:tc>
        <w:tc>
          <w:tcPr>
            <w:tcW w:type="dxa" w:w="3168"/>
            <w:shd w:fill="F5F7FA"/>
          </w:tcPr>
          <w:p>
            <w:r/>
            <w:r>
              <w:rPr>
                <w:rFonts w:ascii="Calibri" w:hAnsi="Calibri"/>
                <w:color w:val="333333"/>
                <w:sz w:val="20"/>
              </w:rPr>
              <w:t>Invest in paid survey data (Mercer, Radford, Culpepper, Pearl Meyer)</w:t>
            </w:r>
          </w:p>
        </w:tc>
        <w:tc>
          <w:tcPr>
            <w:tcW w:type="dxa" w:w="3600"/>
            <w:shd w:fill="F5F7FA"/>
          </w:tcPr>
          <w:p>
            <w:r/>
            <w:r>
              <w:rPr>
                <w:rFonts w:ascii="Calibri" w:hAnsi="Calibri"/>
                <w:color w:val="333333"/>
                <w:sz w:val="20"/>
              </w:rPr>
              <w:t>Building a company-wide structure requires consistent methodology across all roles; paid surveys provide this</w:t>
            </w:r>
          </w:p>
        </w:tc>
      </w:tr>
      <w:tr>
        <w:tc>
          <w:tcPr>
            <w:tcW w:type="dxa" w:w="2592"/>
          </w:tcPr>
          <w:p>
            <w:r/>
            <w:r>
              <w:rPr>
                <w:rFonts w:ascii="Calibri" w:hAnsi="Calibri"/>
                <w:color w:val="333333"/>
                <w:sz w:val="20"/>
              </w:rPr>
              <w:t>Investor-grade comp decisions</w:t>
            </w:r>
          </w:p>
        </w:tc>
        <w:tc>
          <w:tcPr>
            <w:tcW w:type="dxa" w:w="3168"/>
          </w:tcPr>
          <w:p>
            <w:r/>
            <w:r>
              <w:rPr>
                <w:rFonts w:ascii="Calibri" w:hAnsi="Calibri"/>
                <w:color w:val="333333"/>
                <w:sz w:val="20"/>
              </w:rPr>
              <w:t>Paid data expected</w:t>
            </w:r>
          </w:p>
        </w:tc>
        <w:tc>
          <w:tcPr>
            <w:tcW w:type="dxa" w:w="3600"/>
          </w:tcPr>
          <w:p>
            <w:r/>
            <w:r>
              <w:rPr>
                <w:rFonts w:ascii="Calibri" w:hAnsi="Calibri"/>
                <w:color w:val="333333"/>
                <w:sz w:val="20"/>
              </w:rPr>
              <w:t>Investors, boards, and auditors expect defensible, survey-sourced data for executive comp and equity decisions</w:t>
            </w:r>
          </w:p>
        </w:tc>
      </w:tr>
      <w:tr>
        <w:tc>
          <w:tcPr>
            <w:tcW w:type="dxa" w:w="2592"/>
            <w:shd w:fill="F5F7FA"/>
          </w:tcPr>
          <w:p>
            <w:r/>
            <w:r>
              <w:rPr>
                <w:rFonts w:ascii="Calibri" w:hAnsi="Calibri"/>
                <w:color w:val="333333"/>
                <w:sz w:val="20"/>
              </w:rPr>
              <w:t>Pay equity analysis</w:t>
            </w:r>
          </w:p>
        </w:tc>
        <w:tc>
          <w:tcPr>
            <w:tcW w:type="dxa" w:w="3168"/>
            <w:shd w:fill="F5F7FA"/>
          </w:tcPr>
          <w:p>
            <w:r/>
            <w:r>
              <w:rPr>
                <w:rFonts w:ascii="Calibri" w:hAnsi="Calibri"/>
                <w:color w:val="333333"/>
                <w:sz w:val="20"/>
              </w:rPr>
              <w:t>Paid data provides defensible benchmarks</w:t>
            </w:r>
          </w:p>
        </w:tc>
        <w:tc>
          <w:tcPr>
            <w:tcW w:type="dxa" w:w="3600"/>
            <w:shd w:fill="F5F7FA"/>
          </w:tcPr>
          <w:p>
            <w:r/>
            <w:r>
              <w:rPr>
                <w:rFonts w:ascii="Calibri" w:hAnsi="Calibri"/>
                <w:color w:val="333333"/>
                <w:sz w:val="20"/>
              </w:rPr>
              <w:t>Legal defensibility requires sourcing that can withstand scrutiny; public data is harder to defend</w:t>
            </w:r>
          </w:p>
        </w:tc>
      </w:tr>
      <w:tr>
        <w:tc>
          <w:tcPr>
            <w:tcW w:type="dxa" w:w="2592"/>
          </w:tcPr>
          <w:p>
            <w:r/>
            <w:r>
              <w:rPr>
                <w:rFonts w:ascii="Calibri" w:hAnsi="Calibri"/>
                <w:color w:val="333333"/>
                <w:sz w:val="20"/>
              </w:rPr>
              <w:t>Niche industries with thin public data</w:t>
            </w:r>
          </w:p>
        </w:tc>
        <w:tc>
          <w:tcPr>
            <w:tcW w:type="dxa" w:w="3168"/>
          </w:tcPr>
          <w:p>
            <w:r/>
            <w:r>
              <w:rPr>
                <w:rFonts w:ascii="Calibri" w:hAnsi="Calibri"/>
                <w:color w:val="333333"/>
                <w:sz w:val="20"/>
              </w:rPr>
              <w:t>Paid surveys fill the gap</w:t>
            </w:r>
          </w:p>
        </w:tc>
        <w:tc>
          <w:tcPr>
            <w:tcW w:type="dxa" w:w="3600"/>
          </w:tcPr>
          <w:p>
            <w:r/>
            <w:r>
              <w:rPr>
                <w:rFonts w:ascii="Calibri" w:hAnsi="Calibri"/>
                <w:color w:val="333333"/>
                <w:sz w:val="20"/>
              </w:rPr>
              <w:t>Affordable housing, specialized manufacturing, or other niche sectors may have insufficient public data</w:t>
            </w:r>
          </w:p>
        </w:tc>
      </w:tr>
      <w:tr>
        <w:tc>
          <w:tcPr>
            <w:tcW w:type="dxa" w:w="2592"/>
            <w:shd w:fill="F5F7FA"/>
          </w:tcPr>
          <w:p>
            <w:r/>
            <w:r>
              <w:rPr>
                <w:rFonts w:ascii="Calibri" w:hAnsi="Calibri"/>
                <w:color w:val="333333"/>
                <w:sz w:val="20"/>
              </w:rPr>
              <w:t>Annual comp review cycle</w:t>
            </w:r>
          </w:p>
        </w:tc>
        <w:tc>
          <w:tcPr>
            <w:tcW w:type="dxa" w:w="3168"/>
            <w:shd w:fill="F5F7FA"/>
          </w:tcPr>
          <w:p>
            <w:r/>
            <w:r>
              <w:rPr>
                <w:rFonts w:ascii="Calibri" w:hAnsi="Calibri"/>
                <w:color w:val="333333"/>
                <w:sz w:val="20"/>
              </w:rPr>
              <w:t>Blend of paid + public</w:t>
            </w:r>
          </w:p>
        </w:tc>
        <w:tc>
          <w:tcPr>
            <w:tcW w:type="dxa" w:w="3600"/>
            <w:shd w:fill="F5F7FA"/>
          </w:tcPr>
          <w:p>
            <w:r/>
            <w:r>
              <w:rPr>
                <w:rFonts w:ascii="Calibri" w:hAnsi="Calibri"/>
                <w:color w:val="333333"/>
                <w:sz w:val="20"/>
              </w:rPr>
              <w:t>Paid survey provides the baseline; public data validates and fills gaps for newer or non-standard roles</w:t>
            </w:r>
          </w:p>
        </w:tc>
      </w:tr>
    </w:tbl>
    <w:p/>
    <w:p>
      <w:pPr>
        <w:pStyle w:val="Heading2"/>
      </w:pPr>
      <w:r>
        <w:t>Cost Guidance</w:t>
      </w:r>
    </w:p>
    <w:p>
      <w:r>
        <w:t>Paid compensation surveys typically cost $2,000-$15,000 per year depending on scope and provider. For clients considering paid data, recommend starting with a single industry-specific survey (e.g., NAHMA for affordable housing, Radford for tech) rather than a general survey.</w:t>
      </w:r>
    </w:p>
    <w:p/>
    <w:p>
      <w:pPr>
        <w:jc w:val="center"/>
      </w:pPr>
      <w:r>
        <w:rPr>
          <w:i/>
          <w:color w:val="666666"/>
          <w:sz w:val="18"/>
        </w:rPr>
        <w:t>--- End of Methodology Guide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