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1A3A5C"/>
          <w:sz w:val="52"/>
        </w:rPr>
        <w:t>Compensation Data</w:t>
        <w:br/>
        <w:t>Source Reference Guide</w:t>
      </w:r>
    </w:p>
    <w:p>
      <w:pPr>
        <w:jc w:val="center"/>
      </w:pPr>
      <w:r>
        <w:rPr>
          <w:rFonts w:ascii="Calibri" w:hAnsi="Calibri"/>
          <w:i/>
          <w:color w:val="2C7BE5"/>
          <w:sz w:val="28"/>
        </w:rPr>
        <w:t>Reliability Rankings, Bias Directions, and Usage Guidance</w:t>
      </w:r>
    </w:p>
    <w:p/>
    <w:p>
      <w:pPr>
        <w:jc w:val="center"/>
      </w:pPr>
      <w:r>
        <w:rPr>
          <w:rFonts w:ascii="Calibri" w:hAnsi="Calibri"/>
          <w:color w:val="666666"/>
          <w:sz w:val="24"/>
        </w:rPr>
        <w:t>Pure Work AI</w:t>
      </w:r>
    </w:p>
    <w:p>
      <w:pPr>
        <w:jc w:val="center"/>
      </w:pPr>
      <w:r>
        <w:rPr>
          <w:rFonts w:ascii="Calibri" w:hAnsi="Calibri"/>
          <w:color w:val="666666"/>
          <w:sz w:val="20"/>
        </w:rPr>
        <w:t>Version 1.0</w:t>
      </w:r>
    </w:p>
    <w:p>
      <w:r>
        <w:br w:type="page"/>
      </w:r>
    </w:p>
    <w:p>
      <w:pPr>
        <w:pStyle w:val="Heading1"/>
      </w:pPr>
      <w:r>
        <w:t>How to Use This Guide</w:t>
      </w:r>
    </w:p>
    <w:p>
      <w:r>
        <w:t>This guide ranks publicly available salary data sources by reliability for duty-based compensation benchmarking. When sources disagree, weight them according to their tier. When presenting data to clients, note the tier of each source to help them understand confidence levels.</w:t>
      </w:r>
    </w:p>
    <w:p>
      <w:r>
        <w:t>Tier placement is based on: methodology transparency, sample size, data collection method (government survey vs. self-reported vs. modeled), geographic granularity, and update frequency.</w:t>
      </w:r>
    </w:p>
    <w:p>
      <w:pPr>
        <w:pStyle w:val="Heading1"/>
      </w:pPr>
      <w:r>
        <w:t>Tier 1: Most Reliable for Duty-Based Benchmarking</w:t>
      </w:r>
    </w:p>
    <w:p>
      <w:r>
        <w:t>These sources provide the strongest foundation for compensation analysis. When Tier 1 sources agree, you can be highly confident in the data. When they disagree with lower-tier sources, weight Tier 1 more heavily.</w:t>
      </w:r>
    </w:p>
    <w:p>
      <w:pPr>
        <w:pStyle w:val="Heading2"/>
      </w:pPr>
      <w:r>
        <w:t>Job Bank Canada (Government of Canada)</w:t>
      </w:r>
    </w:p>
    <w:tbl>
      <w:tblPr>
        <w:tblStyle w:val="TableGrid"/>
        <w:tblW w:type="auto" w:w="0"/>
        <w:jc w:val="center"/>
        <w:tblLook w:firstColumn="1" w:firstRow="1" w:lastColumn="0" w:lastRow="0" w:noHBand="0" w:noVBand="1" w:val="04A0"/>
      </w:tblPr>
      <w:tblGrid>
        <w:gridCol w:w="4680"/>
        <w:gridCol w:w="4680"/>
      </w:tblGrid>
      <w:tr>
        <w:tc>
          <w:tcPr>
            <w:tcW w:type="dxa" w:w="2160"/>
            <w:shd w:fill="1A3A5C"/>
          </w:tcPr>
          <w:p>
            <w:pPr>
              <w:jc w:val="left"/>
            </w:pPr>
            <w:r/>
            <w:r>
              <w:rPr>
                <w:rFonts w:ascii="Calibri" w:hAnsi="Calibri"/>
                <w:b/>
                <w:color w:val="FFFFFF"/>
                <w:sz w:val="20"/>
              </w:rPr>
              <w:t>Attribute</w:t>
            </w:r>
          </w:p>
        </w:tc>
        <w:tc>
          <w:tcPr>
            <w:tcW w:type="dxa" w:w="7200"/>
            <w:shd w:fill="1A3A5C"/>
          </w:tcPr>
          <w:p>
            <w:pPr>
              <w:jc w:val="left"/>
            </w:pPr>
            <w:r/>
            <w:r>
              <w:rPr>
                <w:rFonts w:ascii="Calibri" w:hAnsi="Calibri"/>
                <w:b/>
                <w:color w:val="FFFFFF"/>
                <w:sz w:val="20"/>
              </w:rPr>
              <w:t>Detail</w:t>
            </w:r>
          </w:p>
        </w:tc>
      </w:tr>
      <w:tr>
        <w:tc>
          <w:tcPr>
            <w:tcW w:type="dxa" w:w="2160"/>
          </w:tcPr>
          <w:p>
            <w:r/>
            <w:r>
              <w:rPr>
                <w:rFonts w:ascii="Calibri" w:hAnsi="Calibri"/>
                <w:color w:val="333333"/>
                <w:sz w:val="20"/>
              </w:rPr>
              <w:t>URL</w:t>
            </w:r>
          </w:p>
        </w:tc>
        <w:tc>
          <w:tcPr>
            <w:tcW w:type="dxa" w:w="7200"/>
          </w:tcPr>
          <w:p>
            <w:r/>
            <w:r>
              <w:rPr>
                <w:rFonts w:ascii="Calibri" w:hAnsi="Calibri"/>
                <w:color w:val="333333"/>
                <w:sz w:val="20"/>
              </w:rPr>
              <w:t>https://www.jobbank.gc.ca/trend-analysis</w:t>
            </w:r>
          </w:p>
        </w:tc>
      </w:tr>
      <w:tr>
        <w:tc>
          <w:tcPr>
            <w:tcW w:type="dxa" w:w="2160"/>
            <w:shd w:fill="F5F7FA"/>
          </w:tcPr>
          <w:p>
            <w:r/>
            <w:r>
              <w:rPr>
                <w:rFonts w:ascii="Calibri" w:hAnsi="Calibri"/>
                <w:color w:val="333333"/>
                <w:sz w:val="20"/>
              </w:rPr>
              <w:t>Best For</w:t>
            </w:r>
          </w:p>
        </w:tc>
        <w:tc>
          <w:tcPr>
            <w:tcW w:type="dxa" w:w="7200"/>
            <w:shd w:fill="F5F7FA"/>
          </w:tcPr>
          <w:p>
            <w:r/>
            <w:r>
              <w:rPr>
                <w:rFonts w:ascii="Calibri" w:hAnsi="Calibri"/>
                <w:color w:val="333333"/>
                <w:sz w:val="20"/>
              </w:rPr>
              <w:t>Canadian roles; NOC code-based search; geographic breakdown by province, territory, and economic region</w:t>
            </w:r>
          </w:p>
        </w:tc>
      </w:tr>
      <w:tr>
        <w:tc>
          <w:tcPr>
            <w:tcW w:type="dxa" w:w="2160"/>
          </w:tcPr>
          <w:p>
            <w:r/>
            <w:r>
              <w:rPr>
                <w:rFonts w:ascii="Calibri" w:hAnsi="Calibri"/>
                <w:color w:val="333333"/>
                <w:sz w:val="20"/>
              </w:rPr>
              <w:t>Worst For</w:t>
            </w:r>
          </w:p>
        </w:tc>
        <w:tc>
          <w:tcPr>
            <w:tcW w:type="dxa" w:w="7200"/>
          </w:tcPr>
          <w:p>
            <w:r/>
            <w:r>
              <w:rPr>
                <w:rFonts w:ascii="Calibri" w:hAnsi="Calibri"/>
                <w:color w:val="333333"/>
                <w:sz w:val="20"/>
              </w:rPr>
              <w:t>US roles; very niche or emerging job titles that do not have established NOC codes</w:t>
            </w:r>
          </w:p>
        </w:tc>
      </w:tr>
      <w:tr>
        <w:tc>
          <w:tcPr>
            <w:tcW w:type="dxa" w:w="2160"/>
            <w:shd w:fill="F5F7FA"/>
          </w:tcPr>
          <w:p>
            <w:r/>
            <w:r>
              <w:rPr>
                <w:rFonts w:ascii="Calibri" w:hAnsi="Calibri"/>
                <w:color w:val="333333"/>
                <w:sz w:val="20"/>
              </w:rPr>
              <w:t>Bias Direction</w:t>
            </w:r>
          </w:p>
        </w:tc>
        <w:tc>
          <w:tcPr>
            <w:tcW w:type="dxa" w:w="7200"/>
            <w:shd w:fill="F5F7FA"/>
          </w:tcPr>
          <w:p>
            <w:r/>
            <w:r>
              <w:rPr>
                <w:rFonts w:ascii="Calibri" w:hAnsi="Calibri"/>
                <w:color w:val="333333"/>
                <w:sz w:val="20"/>
              </w:rPr>
              <w:t>Tends conservative (5-10% below actual market in hot sectors like tech). Government data captures the broad market, not the competitive top.</w:t>
            </w:r>
          </w:p>
        </w:tc>
      </w:tr>
      <w:tr>
        <w:tc>
          <w:tcPr>
            <w:tcW w:type="dxa" w:w="2160"/>
          </w:tcPr>
          <w:p>
            <w:r/>
            <w:r>
              <w:rPr>
                <w:rFonts w:ascii="Calibri" w:hAnsi="Calibri"/>
                <w:color w:val="333333"/>
                <w:sz w:val="20"/>
              </w:rPr>
              <w:t>Sample Size</w:t>
            </w:r>
          </w:p>
        </w:tc>
        <w:tc>
          <w:tcPr>
            <w:tcW w:type="dxa" w:w="7200"/>
          </w:tcPr>
          <w:p>
            <w:r/>
            <w:r>
              <w:rPr>
                <w:rFonts w:ascii="Calibri" w:hAnsi="Calibri"/>
                <w:color w:val="333333"/>
                <w:sz w:val="20"/>
              </w:rPr>
              <w:t>Large (government employer survey data). NOC codes cover virtually all occupations.</w:t>
            </w:r>
          </w:p>
        </w:tc>
      </w:tr>
      <w:tr>
        <w:tc>
          <w:tcPr>
            <w:tcW w:type="dxa" w:w="2160"/>
            <w:shd w:fill="F5F7FA"/>
          </w:tcPr>
          <w:p>
            <w:r/>
            <w:r>
              <w:rPr>
                <w:rFonts w:ascii="Calibri" w:hAnsi="Calibri"/>
                <w:color w:val="333333"/>
                <w:sz w:val="20"/>
              </w:rPr>
              <w:t>Geographic Coverage</w:t>
            </w:r>
          </w:p>
        </w:tc>
        <w:tc>
          <w:tcPr>
            <w:tcW w:type="dxa" w:w="7200"/>
            <w:shd w:fill="F5F7FA"/>
          </w:tcPr>
          <w:p>
            <w:r/>
            <w:r>
              <w:rPr>
                <w:rFonts w:ascii="Calibri" w:hAnsi="Calibri"/>
                <w:color w:val="333333"/>
                <w:sz w:val="20"/>
              </w:rPr>
              <w:t>Canada -- national, provincial, and economic region breakdowns available</w:t>
            </w:r>
          </w:p>
        </w:tc>
      </w:tr>
      <w:tr>
        <w:tc>
          <w:tcPr>
            <w:tcW w:type="dxa" w:w="2160"/>
          </w:tcPr>
          <w:p>
            <w:r/>
            <w:r>
              <w:rPr>
                <w:rFonts w:ascii="Calibri" w:hAnsi="Calibri"/>
                <w:color w:val="333333"/>
                <w:sz w:val="20"/>
              </w:rPr>
              <w:t>Update Frequency</w:t>
            </w:r>
          </w:p>
        </w:tc>
        <w:tc>
          <w:tcPr>
            <w:tcW w:type="dxa" w:w="7200"/>
          </w:tcPr>
          <w:p>
            <w:r/>
            <w:r>
              <w:rPr>
                <w:rFonts w:ascii="Calibri" w:hAnsi="Calibri"/>
                <w:color w:val="333333"/>
                <w:sz w:val="20"/>
              </w:rPr>
              <w:t>Annual, typically refreshed Q1-Q2</w:t>
            </w:r>
          </w:p>
        </w:tc>
      </w:tr>
      <w:tr>
        <w:tc>
          <w:tcPr>
            <w:tcW w:type="dxa" w:w="2160"/>
            <w:shd w:fill="F5F7FA"/>
          </w:tcPr>
          <w:p>
            <w:r/>
            <w:r>
              <w:rPr>
                <w:rFonts w:ascii="Calibri" w:hAnsi="Calibri"/>
                <w:color w:val="333333"/>
                <w:sz w:val="20"/>
              </w:rPr>
              <w:t>Usage Notes</w:t>
            </w:r>
          </w:p>
        </w:tc>
        <w:tc>
          <w:tcPr>
            <w:tcW w:type="dxa" w:w="7200"/>
            <w:shd w:fill="F5F7FA"/>
          </w:tcPr>
          <w:p>
            <w:r/>
            <w:r>
              <w:rPr>
                <w:rFonts w:ascii="Calibri" w:hAnsi="Calibri"/>
                <w:color w:val="333333"/>
                <w:sz w:val="20"/>
              </w:rPr>
              <w:t>Gold standard for Canadian benchmarking. Use NOC codes for precision. The wage data includes base salary only (excludes bonuses, equity). Always specify the geographic filter.</w:t>
            </w:r>
          </w:p>
        </w:tc>
      </w:tr>
    </w:tbl>
    <w:p/>
    <w:p>
      <w:pPr>
        <w:pStyle w:val="Heading2"/>
      </w:pPr>
      <w:r>
        <w:t>Bureau of Labor Statistics (BLS) -- Occupational Employment and Wage Statistics (OEWS)</w:t>
      </w:r>
    </w:p>
    <w:tbl>
      <w:tblPr>
        <w:tblStyle w:val="TableGrid"/>
        <w:tblW w:type="auto" w:w="0"/>
        <w:jc w:val="center"/>
        <w:tblLook w:firstColumn="1" w:firstRow="1" w:lastColumn="0" w:lastRow="0" w:noHBand="0" w:noVBand="1" w:val="04A0"/>
      </w:tblPr>
      <w:tblGrid>
        <w:gridCol w:w="4680"/>
        <w:gridCol w:w="4680"/>
      </w:tblGrid>
      <w:tr>
        <w:tc>
          <w:tcPr>
            <w:tcW w:type="dxa" w:w="2160"/>
            <w:shd w:fill="1A3A5C"/>
          </w:tcPr>
          <w:p>
            <w:pPr>
              <w:jc w:val="left"/>
            </w:pPr>
            <w:r/>
            <w:r>
              <w:rPr>
                <w:rFonts w:ascii="Calibri" w:hAnsi="Calibri"/>
                <w:b/>
                <w:color w:val="FFFFFF"/>
                <w:sz w:val="20"/>
              </w:rPr>
              <w:t>Attribute</w:t>
            </w:r>
          </w:p>
        </w:tc>
        <w:tc>
          <w:tcPr>
            <w:tcW w:type="dxa" w:w="7200"/>
            <w:shd w:fill="1A3A5C"/>
          </w:tcPr>
          <w:p>
            <w:pPr>
              <w:jc w:val="left"/>
            </w:pPr>
            <w:r/>
            <w:r>
              <w:rPr>
                <w:rFonts w:ascii="Calibri" w:hAnsi="Calibri"/>
                <w:b/>
                <w:color w:val="FFFFFF"/>
                <w:sz w:val="20"/>
              </w:rPr>
              <w:t>Detail</w:t>
            </w:r>
          </w:p>
        </w:tc>
      </w:tr>
      <w:tr>
        <w:tc>
          <w:tcPr>
            <w:tcW w:type="dxa" w:w="2160"/>
          </w:tcPr>
          <w:p>
            <w:r/>
            <w:r>
              <w:rPr>
                <w:rFonts w:ascii="Calibri" w:hAnsi="Calibri"/>
                <w:color w:val="333333"/>
                <w:sz w:val="20"/>
              </w:rPr>
              <w:t>URL</w:t>
            </w:r>
          </w:p>
        </w:tc>
        <w:tc>
          <w:tcPr>
            <w:tcW w:type="dxa" w:w="7200"/>
          </w:tcPr>
          <w:p>
            <w:r/>
            <w:r>
              <w:rPr>
                <w:rFonts w:ascii="Calibri" w:hAnsi="Calibri"/>
                <w:color w:val="333333"/>
                <w:sz w:val="20"/>
              </w:rPr>
              <w:t>https://www.bls.gov/oes/</w:t>
            </w:r>
          </w:p>
        </w:tc>
      </w:tr>
      <w:tr>
        <w:tc>
          <w:tcPr>
            <w:tcW w:type="dxa" w:w="2160"/>
            <w:shd w:fill="F5F7FA"/>
          </w:tcPr>
          <w:p>
            <w:r/>
            <w:r>
              <w:rPr>
                <w:rFonts w:ascii="Calibri" w:hAnsi="Calibri"/>
                <w:color w:val="333333"/>
                <w:sz w:val="20"/>
              </w:rPr>
              <w:t>Best For</w:t>
            </w:r>
          </w:p>
        </w:tc>
        <w:tc>
          <w:tcPr>
            <w:tcW w:type="dxa" w:w="7200"/>
            <w:shd w:fill="F5F7FA"/>
          </w:tcPr>
          <w:p>
            <w:r/>
            <w:r>
              <w:rPr>
                <w:rFonts w:ascii="Calibri" w:hAnsi="Calibri"/>
                <w:color w:val="333333"/>
                <w:sz w:val="20"/>
              </w:rPr>
              <w:t>US roles; SOC code-based search; metropolitan area and state-level data; large sample sizes</w:t>
            </w:r>
          </w:p>
        </w:tc>
      </w:tr>
      <w:tr>
        <w:tc>
          <w:tcPr>
            <w:tcW w:type="dxa" w:w="2160"/>
          </w:tcPr>
          <w:p>
            <w:r/>
            <w:r>
              <w:rPr>
                <w:rFonts w:ascii="Calibri" w:hAnsi="Calibri"/>
                <w:color w:val="333333"/>
                <w:sz w:val="20"/>
              </w:rPr>
              <w:t>Worst For</w:t>
            </w:r>
          </w:p>
        </w:tc>
        <w:tc>
          <w:tcPr>
            <w:tcW w:type="dxa" w:w="7200"/>
          </w:tcPr>
          <w:p>
            <w:r/>
            <w:r>
              <w:rPr>
                <w:rFonts w:ascii="Calibri" w:hAnsi="Calibri"/>
                <w:color w:val="333333"/>
                <w:sz w:val="20"/>
              </w:rPr>
              <w:t>Canadian roles; very senior or executive-level positions (top-coded); very new or niche titles</w:t>
            </w:r>
          </w:p>
        </w:tc>
      </w:tr>
      <w:tr>
        <w:tc>
          <w:tcPr>
            <w:tcW w:type="dxa" w:w="2160"/>
            <w:shd w:fill="F5F7FA"/>
          </w:tcPr>
          <w:p>
            <w:r/>
            <w:r>
              <w:rPr>
                <w:rFonts w:ascii="Calibri" w:hAnsi="Calibri"/>
                <w:color w:val="333333"/>
                <w:sz w:val="20"/>
              </w:rPr>
              <w:t>Bias Direction</w:t>
            </w:r>
          </w:p>
        </w:tc>
        <w:tc>
          <w:tcPr>
            <w:tcW w:type="dxa" w:w="7200"/>
            <w:shd w:fill="F5F7FA"/>
          </w:tcPr>
          <w:p>
            <w:r/>
            <w:r>
              <w:rPr>
                <w:rFonts w:ascii="Calibri" w:hAnsi="Calibri"/>
                <w:color w:val="333333"/>
                <w:sz w:val="20"/>
              </w:rPr>
              <w:t>Slight conservative bias. Government survey data captures the broad market. Top-coded at very high salaries (some positions show 'greater than $X').</w:t>
            </w:r>
          </w:p>
        </w:tc>
      </w:tr>
      <w:tr>
        <w:tc>
          <w:tcPr>
            <w:tcW w:type="dxa" w:w="2160"/>
          </w:tcPr>
          <w:p>
            <w:r/>
            <w:r>
              <w:rPr>
                <w:rFonts w:ascii="Calibri" w:hAnsi="Calibri"/>
                <w:color w:val="333333"/>
                <w:sz w:val="20"/>
              </w:rPr>
              <w:t>Sample Size</w:t>
            </w:r>
          </w:p>
        </w:tc>
        <w:tc>
          <w:tcPr>
            <w:tcW w:type="dxa" w:w="7200"/>
          </w:tcPr>
          <w:p>
            <w:r/>
            <w:r>
              <w:rPr>
                <w:rFonts w:ascii="Calibri" w:hAnsi="Calibri"/>
                <w:color w:val="333333"/>
                <w:sz w:val="20"/>
              </w:rPr>
              <w:t>Very large (200,000+ establishments surveyed annually). Most robust publicly available US dataset.</w:t>
            </w:r>
          </w:p>
        </w:tc>
      </w:tr>
      <w:tr>
        <w:tc>
          <w:tcPr>
            <w:tcW w:type="dxa" w:w="2160"/>
            <w:shd w:fill="F5F7FA"/>
          </w:tcPr>
          <w:p>
            <w:r/>
            <w:r>
              <w:rPr>
                <w:rFonts w:ascii="Calibri" w:hAnsi="Calibri"/>
                <w:color w:val="333333"/>
                <w:sz w:val="20"/>
              </w:rPr>
              <w:t>Geographic Coverage</w:t>
            </w:r>
          </w:p>
        </w:tc>
        <w:tc>
          <w:tcPr>
            <w:tcW w:type="dxa" w:w="7200"/>
            <w:shd w:fill="F5F7FA"/>
          </w:tcPr>
          <w:p>
            <w:r/>
            <w:r>
              <w:rPr>
                <w:rFonts w:ascii="Calibri" w:hAnsi="Calibri"/>
                <w:color w:val="333333"/>
                <w:sz w:val="20"/>
              </w:rPr>
              <w:t>US -- national, state, and metropolitan statistical area (MSA) breakdowns</w:t>
            </w:r>
          </w:p>
        </w:tc>
      </w:tr>
      <w:tr>
        <w:tc>
          <w:tcPr>
            <w:tcW w:type="dxa" w:w="2160"/>
          </w:tcPr>
          <w:p>
            <w:r/>
            <w:r>
              <w:rPr>
                <w:rFonts w:ascii="Calibri" w:hAnsi="Calibri"/>
                <w:color w:val="333333"/>
                <w:sz w:val="20"/>
              </w:rPr>
              <w:t>Update Frequency</w:t>
            </w:r>
          </w:p>
        </w:tc>
        <w:tc>
          <w:tcPr>
            <w:tcW w:type="dxa" w:w="7200"/>
          </w:tcPr>
          <w:p>
            <w:r/>
            <w:r>
              <w:rPr>
                <w:rFonts w:ascii="Calibri" w:hAnsi="Calibri"/>
                <w:color w:val="333333"/>
                <w:sz w:val="20"/>
              </w:rPr>
              <w:t>Annual, typically released May of the following year</w:t>
            </w:r>
          </w:p>
        </w:tc>
      </w:tr>
      <w:tr>
        <w:tc>
          <w:tcPr>
            <w:tcW w:type="dxa" w:w="2160"/>
            <w:shd w:fill="F5F7FA"/>
          </w:tcPr>
          <w:p>
            <w:r/>
            <w:r>
              <w:rPr>
                <w:rFonts w:ascii="Calibri" w:hAnsi="Calibri"/>
                <w:color w:val="333333"/>
                <w:sz w:val="20"/>
              </w:rPr>
              <w:t>Usage Notes</w:t>
            </w:r>
          </w:p>
        </w:tc>
        <w:tc>
          <w:tcPr>
            <w:tcW w:type="dxa" w:w="7200"/>
            <w:shd w:fill="F5F7FA"/>
          </w:tcPr>
          <w:p>
            <w:r/>
            <w:r>
              <w:rPr>
                <w:rFonts w:ascii="Calibri" w:hAnsi="Calibri"/>
                <w:color w:val="333333"/>
                <w:sz w:val="20"/>
              </w:rPr>
              <w:t>Gold standard for US benchmarking. Use SOC codes. Data is employer-reported (not self-reported), making it more reliable than most commercial sources. Percentile data (P10/P25/P50/P75/P90) is available.</w:t>
            </w:r>
          </w:p>
        </w:tc>
      </w:tr>
    </w:tbl>
    <w:p/>
    <w:p>
      <w:pPr>
        <w:pStyle w:val="Heading2"/>
      </w:pPr>
      <w:r>
        <w:t>Robert Half Salary Guides</w:t>
      </w:r>
    </w:p>
    <w:tbl>
      <w:tblPr>
        <w:tblStyle w:val="TableGrid"/>
        <w:tblW w:type="auto" w:w="0"/>
        <w:jc w:val="center"/>
        <w:tblLook w:firstColumn="1" w:firstRow="1" w:lastColumn="0" w:lastRow="0" w:noHBand="0" w:noVBand="1" w:val="04A0"/>
      </w:tblPr>
      <w:tblGrid>
        <w:gridCol w:w="4680"/>
        <w:gridCol w:w="4680"/>
      </w:tblGrid>
      <w:tr>
        <w:tc>
          <w:tcPr>
            <w:tcW w:type="dxa" w:w="2160"/>
            <w:shd w:fill="1A3A5C"/>
          </w:tcPr>
          <w:p>
            <w:pPr>
              <w:jc w:val="left"/>
            </w:pPr>
            <w:r/>
            <w:r>
              <w:rPr>
                <w:rFonts w:ascii="Calibri" w:hAnsi="Calibri"/>
                <w:b/>
                <w:color w:val="FFFFFF"/>
                <w:sz w:val="20"/>
              </w:rPr>
              <w:t>Attribute</w:t>
            </w:r>
          </w:p>
        </w:tc>
        <w:tc>
          <w:tcPr>
            <w:tcW w:type="dxa" w:w="7200"/>
            <w:shd w:fill="1A3A5C"/>
          </w:tcPr>
          <w:p>
            <w:pPr>
              <w:jc w:val="left"/>
            </w:pPr>
            <w:r/>
            <w:r>
              <w:rPr>
                <w:rFonts w:ascii="Calibri" w:hAnsi="Calibri"/>
                <w:b/>
                <w:color w:val="FFFFFF"/>
                <w:sz w:val="20"/>
              </w:rPr>
              <w:t>Detail</w:t>
            </w:r>
          </w:p>
        </w:tc>
      </w:tr>
      <w:tr>
        <w:tc>
          <w:tcPr>
            <w:tcW w:type="dxa" w:w="2160"/>
          </w:tcPr>
          <w:p>
            <w:r/>
            <w:r>
              <w:rPr>
                <w:rFonts w:ascii="Calibri" w:hAnsi="Calibri"/>
                <w:color w:val="333333"/>
                <w:sz w:val="20"/>
              </w:rPr>
              <w:t>URL</w:t>
            </w:r>
          </w:p>
        </w:tc>
        <w:tc>
          <w:tcPr>
            <w:tcW w:type="dxa" w:w="7200"/>
          </w:tcPr>
          <w:p>
            <w:r/>
            <w:r>
              <w:rPr>
                <w:rFonts w:ascii="Calibri" w:hAnsi="Calibri"/>
                <w:color w:val="333333"/>
                <w:sz w:val="20"/>
              </w:rPr>
              <w:t>https://www.roberthalf.com/salary-guide</w:t>
            </w:r>
          </w:p>
        </w:tc>
      </w:tr>
      <w:tr>
        <w:tc>
          <w:tcPr>
            <w:tcW w:type="dxa" w:w="2160"/>
            <w:shd w:fill="F5F7FA"/>
          </w:tcPr>
          <w:p>
            <w:r/>
            <w:r>
              <w:rPr>
                <w:rFonts w:ascii="Calibri" w:hAnsi="Calibri"/>
                <w:color w:val="333333"/>
                <w:sz w:val="20"/>
              </w:rPr>
              <w:t>Best For</w:t>
            </w:r>
          </w:p>
        </w:tc>
        <w:tc>
          <w:tcPr>
            <w:tcW w:type="dxa" w:w="7200"/>
            <w:shd w:fill="F5F7FA"/>
          </w:tcPr>
          <w:p>
            <w:r/>
            <w:r>
              <w:rPr>
                <w:rFonts w:ascii="Calibri" w:hAnsi="Calibri"/>
                <w:color w:val="333333"/>
                <w:sz w:val="20"/>
              </w:rPr>
              <w:t>Office and professional roles (accounting, finance, technology, administrative, legal, marketing); placement-verified data</w:t>
            </w:r>
          </w:p>
        </w:tc>
      </w:tr>
      <w:tr>
        <w:tc>
          <w:tcPr>
            <w:tcW w:type="dxa" w:w="2160"/>
          </w:tcPr>
          <w:p>
            <w:r/>
            <w:r>
              <w:rPr>
                <w:rFonts w:ascii="Calibri" w:hAnsi="Calibri"/>
                <w:color w:val="333333"/>
                <w:sz w:val="20"/>
              </w:rPr>
              <w:t>Worst For</w:t>
            </w:r>
          </w:p>
        </w:tc>
        <w:tc>
          <w:tcPr>
            <w:tcW w:type="dxa" w:w="7200"/>
          </w:tcPr>
          <w:p>
            <w:r/>
            <w:r>
              <w:rPr>
                <w:rFonts w:ascii="Calibri" w:hAnsi="Calibri"/>
                <w:color w:val="333333"/>
                <w:sz w:val="20"/>
              </w:rPr>
              <w:t>Blue-collar, trades, manufacturing, healthcare, or highly specialized technical roles outside their core verticals</w:t>
            </w:r>
          </w:p>
        </w:tc>
      </w:tr>
      <w:tr>
        <w:tc>
          <w:tcPr>
            <w:tcW w:type="dxa" w:w="2160"/>
            <w:shd w:fill="F5F7FA"/>
          </w:tcPr>
          <w:p>
            <w:r/>
            <w:r>
              <w:rPr>
                <w:rFonts w:ascii="Calibri" w:hAnsi="Calibri"/>
                <w:color w:val="333333"/>
                <w:sz w:val="20"/>
              </w:rPr>
              <w:t>Bias Direction</w:t>
            </w:r>
          </w:p>
        </w:tc>
        <w:tc>
          <w:tcPr>
            <w:tcW w:type="dxa" w:w="7200"/>
            <w:shd w:fill="F5F7FA"/>
          </w:tcPr>
          <w:p>
            <w:r/>
            <w:r>
              <w:rPr>
                <w:rFonts w:ascii="Calibri" w:hAnsi="Calibri"/>
                <w:color w:val="333333"/>
                <w:sz w:val="20"/>
              </w:rPr>
              <w:t>Slight upward bias (placement firms price at competitive market rates to attract candidates). Generally 3-5% above government data.</w:t>
            </w:r>
          </w:p>
        </w:tc>
      </w:tr>
      <w:tr>
        <w:tc>
          <w:tcPr>
            <w:tcW w:type="dxa" w:w="2160"/>
          </w:tcPr>
          <w:p>
            <w:r/>
            <w:r>
              <w:rPr>
                <w:rFonts w:ascii="Calibri" w:hAnsi="Calibri"/>
                <w:color w:val="333333"/>
                <w:sz w:val="20"/>
              </w:rPr>
              <w:t>Sample Size</w:t>
            </w:r>
          </w:p>
        </w:tc>
        <w:tc>
          <w:tcPr>
            <w:tcW w:type="dxa" w:w="7200"/>
          </w:tcPr>
          <w:p>
            <w:r/>
            <w:r>
              <w:rPr>
                <w:rFonts w:ascii="Calibri" w:hAnsi="Calibri"/>
                <w:color w:val="333333"/>
                <w:sz w:val="20"/>
              </w:rPr>
              <w:t>Medium-large. Based on actual placements and hiring manager feedback, not self-reported surveys.</w:t>
            </w:r>
          </w:p>
        </w:tc>
      </w:tr>
      <w:tr>
        <w:tc>
          <w:tcPr>
            <w:tcW w:type="dxa" w:w="2160"/>
            <w:shd w:fill="F5F7FA"/>
          </w:tcPr>
          <w:p>
            <w:r/>
            <w:r>
              <w:rPr>
                <w:rFonts w:ascii="Calibri" w:hAnsi="Calibri"/>
                <w:color w:val="333333"/>
                <w:sz w:val="20"/>
              </w:rPr>
              <w:t>Geographic Coverage</w:t>
            </w:r>
          </w:p>
        </w:tc>
        <w:tc>
          <w:tcPr>
            <w:tcW w:type="dxa" w:w="7200"/>
            <w:shd w:fill="F5F7FA"/>
          </w:tcPr>
          <w:p>
            <w:r/>
            <w:r>
              <w:rPr>
                <w:rFonts w:ascii="Calibri" w:hAnsi="Calibri"/>
                <w:color w:val="333333"/>
                <w:sz w:val="20"/>
              </w:rPr>
              <w:t>US and Canada; city-specific adjustment factors available in the guide</w:t>
            </w:r>
          </w:p>
        </w:tc>
      </w:tr>
      <w:tr>
        <w:tc>
          <w:tcPr>
            <w:tcW w:type="dxa" w:w="2160"/>
          </w:tcPr>
          <w:p>
            <w:r/>
            <w:r>
              <w:rPr>
                <w:rFonts w:ascii="Calibri" w:hAnsi="Calibri"/>
                <w:color w:val="333333"/>
                <w:sz w:val="20"/>
              </w:rPr>
              <w:t>Update Frequency</w:t>
            </w:r>
          </w:p>
        </w:tc>
        <w:tc>
          <w:tcPr>
            <w:tcW w:type="dxa" w:w="7200"/>
          </w:tcPr>
          <w:p>
            <w:r/>
            <w:r>
              <w:rPr>
                <w:rFonts w:ascii="Calibri" w:hAnsi="Calibri"/>
                <w:color w:val="333333"/>
                <w:sz w:val="20"/>
              </w:rPr>
              <w:t>Annual (new edition each year, typically released Q4 for the following year)</w:t>
            </w:r>
          </w:p>
        </w:tc>
      </w:tr>
      <w:tr>
        <w:tc>
          <w:tcPr>
            <w:tcW w:type="dxa" w:w="2160"/>
            <w:shd w:fill="F5F7FA"/>
          </w:tcPr>
          <w:p>
            <w:r/>
            <w:r>
              <w:rPr>
                <w:rFonts w:ascii="Calibri" w:hAnsi="Calibri"/>
                <w:color w:val="333333"/>
                <w:sz w:val="20"/>
              </w:rPr>
              <w:t>Usage Notes</w:t>
            </w:r>
          </w:p>
        </w:tc>
        <w:tc>
          <w:tcPr>
            <w:tcW w:type="dxa" w:w="7200"/>
            <w:shd w:fill="F5F7FA"/>
          </w:tcPr>
          <w:p>
            <w:r/>
            <w:r>
              <w:rPr>
                <w:rFonts w:ascii="Calibri" w:hAnsi="Calibri"/>
                <w:color w:val="333333"/>
                <w:sz w:val="20"/>
              </w:rPr>
              <w:t>Excellent for office/professional roles. The city adjustment factors are particularly useful. Data is based on actual placements, which is more reliable than self-reporting. Download the full PDF for complete data.</w:t>
            </w:r>
          </w:p>
        </w:tc>
      </w:tr>
    </w:tbl>
    <w:p/>
    <w:p>
      <w:pPr>
        <w:pStyle w:val="Heading2"/>
      </w:pPr>
      <w:r>
        <w:t>Indeed Salary Data</w:t>
      </w:r>
    </w:p>
    <w:tbl>
      <w:tblPr>
        <w:tblStyle w:val="TableGrid"/>
        <w:tblW w:type="auto" w:w="0"/>
        <w:jc w:val="center"/>
        <w:tblLook w:firstColumn="1" w:firstRow="1" w:lastColumn="0" w:lastRow="0" w:noHBand="0" w:noVBand="1" w:val="04A0"/>
      </w:tblPr>
      <w:tblGrid>
        <w:gridCol w:w="4680"/>
        <w:gridCol w:w="4680"/>
      </w:tblGrid>
      <w:tr>
        <w:tc>
          <w:tcPr>
            <w:tcW w:type="dxa" w:w="2160"/>
            <w:shd w:fill="1A3A5C"/>
          </w:tcPr>
          <w:p>
            <w:pPr>
              <w:jc w:val="left"/>
            </w:pPr>
            <w:r/>
            <w:r>
              <w:rPr>
                <w:rFonts w:ascii="Calibri" w:hAnsi="Calibri"/>
                <w:b/>
                <w:color w:val="FFFFFF"/>
                <w:sz w:val="20"/>
              </w:rPr>
              <w:t>Attribute</w:t>
            </w:r>
          </w:p>
        </w:tc>
        <w:tc>
          <w:tcPr>
            <w:tcW w:type="dxa" w:w="7200"/>
            <w:shd w:fill="1A3A5C"/>
          </w:tcPr>
          <w:p>
            <w:pPr>
              <w:jc w:val="left"/>
            </w:pPr>
            <w:r/>
            <w:r>
              <w:rPr>
                <w:rFonts w:ascii="Calibri" w:hAnsi="Calibri"/>
                <w:b/>
                <w:color w:val="FFFFFF"/>
                <w:sz w:val="20"/>
              </w:rPr>
              <w:t>Detail</w:t>
            </w:r>
          </w:p>
        </w:tc>
      </w:tr>
      <w:tr>
        <w:tc>
          <w:tcPr>
            <w:tcW w:type="dxa" w:w="2160"/>
          </w:tcPr>
          <w:p>
            <w:r/>
            <w:r>
              <w:rPr>
                <w:rFonts w:ascii="Calibri" w:hAnsi="Calibri"/>
                <w:color w:val="333333"/>
                <w:sz w:val="20"/>
              </w:rPr>
              <w:t>URL</w:t>
            </w:r>
          </w:p>
        </w:tc>
        <w:tc>
          <w:tcPr>
            <w:tcW w:type="dxa" w:w="7200"/>
          </w:tcPr>
          <w:p>
            <w:r/>
            <w:r>
              <w:rPr>
                <w:rFonts w:ascii="Calibri" w:hAnsi="Calibri"/>
                <w:color w:val="333333"/>
                <w:sz w:val="20"/>
              </w:rPr>
              <w:t>https://www.indeed.com/career/salaries</w:t>
            </w:r>
          </w:p>
        </w:tc>
      </w:tr>
      <w:tr>
        <w:tc>
          <w:tcPr>
            <w:tcW w:type="dxa" w:w="2160"/>
            <w:shd w:fill="F5F7FA"/>
          </w:tcPr>
          <w:p>
            <w:r/>
            <w:r>
              <w:rPr>
                <w:rFonts w:ascii="Calibri" w:hAnsi="Calibri"/>
                <w:color w:val="333333"/>
                <w:sz w:val="20"/>
              </w:rPr>
              <w:t>Best For</w:t>
            </w:r>
          </w:p>
        </w:tc>
        <w:tc>
          <w:tcPr>
            <w:tcW w:type="dxa" w:w="7200"/>
            <w:shd w:fill="F5F7FA"/>
          </w:tcPr>
          <w:p>
            <w:r/>
            <w:r>
              <w:rPr>
                <w:rFonts w:ascii="Calibri" w:hAnsi="Calibri"/>
                <w:color w:val="333333"/>
                <w:sz w:val="20"/>
              </w:rPr>
              <w:t>Directional data across a wide range of titles; large sample sizes compensate for self-reporting bias; good geographic filtering</w:t>
            </w:r>
          </w:p>
        </w:tc>
      </w:tr>
      <w:tr>
        <w:tc>
          <w:tcPr>
            <w:tcW w:type="dxa" w:w="2160"/>
          </w:tcPr>
          <w:p>
            <w:r/>
            <w:r>
              <w:rPr>
                <w:rFonts w:ascii="Calibri" w:hAnsi="Calibri"/>
                <w:color w:val="333333"/>
                <w:sz w:val="20"/>
              </w:rPr>
              <w:t>Worst For</w:t>
            </w:r>
          </w:p>
        </w:tc>
        <w:tc>
          <w:tcPr>
            <w:tcW w:type="dxa" w:w="7200"/>
          </w:tcPr>
          <w:p>
            <w:r/>
            <w:r>
              <w:rPr>
                <w:rFonts w:ascii="Calibri" w:hAnsi="Calibri"/>
                <w:color w:val="333333"/>
                <w:sz w:val="20"/>
              </w:rPr>
              <w:t>Precision at the extremes (very high or very low salaries); small markets with thin data</w:t>
            </w:r>
          </w:p>
        </w:tc>
      </w:tr>
      <w:tr>
        <w:tc>
          <w:tcPr>
            <w:tcW w:type="dxa" w:w="2160"/>
            <w:shd w:fill="F5F7FA"/>
          </w:tcPr>
          <w:p>
            <w:r/>
            <w:r>
              <w:rPr>
                <w:rFonts w:ascii="Calibri" w:hAnsi="Calibri"/>
                <w:color w:val="333333"/>
                <w:sz w:val="20"/>
              </w:rPr>
              <w:t>Bias Direction</w:t>
            </w:r>
          </w:p>
        </w:tc>
        <w:tc>
          <w:tcPr>
            <w:tcW w:type="dxa" w:w="7200"/>
            <w:shd w:fill="F5F7FA"/>
          </w:tcPr>
          <w:p>
            <w:r/>
            <w:r>
              <w:rPr>
                <w:rFonts w:ascii="Calibri" w:hAnsi="Calibri"/>
                <w:color w:val="333333"/>
                <w:sz w:val="20"/>
              </w:rPr>
              <w:t>Moderate self-reporting bias (tends to run 5-8% high for professional roles). Volume partially compensates for individual reporting inaccuracy.</w:t>
            </w:r>
          </w:p>
        </w:tc>
      </w:tr>
      <w:tr>
        <w:tc>
          <w:tcPr>
            <w:tcW w:type="dxa" w:w="2160"/>
          </w:tcPr>
          <w:p>
            <w:r/>
            <w:r>
              <w:rPr>
                <w:rFonts w:ascii="Calibri" w:hAnsi="Calibri"/>
                <w:color w:val="333333"/>
                <w:sz w:val="20"/>
              </w:rPr>
              <w:t>Sample Size</w:t>
            </w:r>
          </w:p>
        </w:tc>
        <w:tc>
          <w:tcPr>
            <w:tcW w:type="dxa" w:w="7200"/>
          </w:tcPr>
          <w:p>
            <w:r/>
            <w:r>
              <w:rPr>
                <w:rFonts w:ascii="Calibri" w:hAnsi="Calibri"/>
                <w:color w:val="333333"/>
                <w:sz w:val="20"/>
              </w:rPr>
              <w:t>Very large. Millions of data points from job postings and employee submissions.</w:t>
            </w:r>
          </w:p>
        </w:tc>
      </w:tr>
      <w:tr>
        <w:tc>
          <w:tcPr>
            <w:tcW w:type="dxa" w:w="2160"/>
            <w:shd w:fill="F5F7FA"/>
          </w:tcPr>
          <w:p>
            <w:r/>
            <w:r>
              <w:rPr>
                <w:rFonts w:ascii="Calibri" w:hAnsi="Calibri"/>
                <w:color w:val="333333"/>
                <w:sz w:val="20"/>
              </w:rPr>
              <w:t>Geographic Coverage</w:t>
            </w:r>
          </w:p>
        </w:tc>
        <w:tc>
          <w:tcPr>
            <w:tcW w:type="dxa" w:w="7200"/>
            <w:shd w:fill="F5F7FA"/>
          </w:tcPr>
          <w:p>
            <w:r/>
            <w:r>
              <w:rPr>
                <w:rFonts w:ascii="Calibri" w:hAnsi="Calibri"/>
                <w:color w:val="333333"/>
                <w:sz w:val="20"/>
              </w:rPr>
              <w:t>US and Canada; city-level filtering available</w:t>
            </w:r>
          </w:p>
        </w:tc>
      </w:tr>
      <w:tr>
        <w:tc>
          <w:tcPr>
            <w:tcW w:type="dxa" w:w="2160"/>
          </w:tcPr>
          <w:p>
            <w:r/>
            <w:r>
              <w:rPr>
                <w:rFonts w:ascii="Calibri" w:hAnsi="Calibri"/>
                <w:color w:val="333333"/>
                <w:sz w:val="20"/>
              </w:rPr>
              <w:t>Update Frequency</w:t>
            </w:r>
          </w:p>
        </w:tc>
        <w:tc>
          <w:tcPr>
            <w:tcW w:type="dxa" w:w="7200"/>
          </w:tcPr>
          <w:p>
            <w:r/>
            <w:r>
              <w:rPr>
                <w:rFonts w:ascii="Calibri" w:hAnsi="Calibri"/>
                <w:color w:val="333333"/>
                <w:sz w:val="20"/>
              </w:rPr>
              <w:t>Continuous (rolling data, no fixed publication date)</w:t>
            </w:r>
          </w:p>
        </w:tc>
      </w:tr>
      <w:tr>
        <w:tc>
          <w:tcPr>
            <w:tcW w:type="dxa" w:w="2160"/>
            <w:shd w:fill="F5F7FA"/>
          </w:tcPr>
          <w:p>
            <w:r/>
            <w:r>
              <w:rPr>
                <w:rFonts w:ascii="Calibri" w:hAnsi="Calibri"/>
                <w:color w:val="333333"/>
                <w:sz w:val="20"/>
              </w:rPr>
              <w:t>Usage Notes</w:t>
            </w:r>
          </w:p>
        </w:tc>
        <w:tc>
          <w:tcPr>
            <w:tcW w:type="dxa" w:w="7200"/>
            <w:shd w:fill="F5F7FA"/>
          </w:tcPr>
          <w:p>
            <w:r/>
            <w:r>
              <w:rPr>
                <w:rFonts w:ascii="Calibri" w:hAnsi="Calibri"/>
                <w:color w:val="333333"/>
                <w:sz w:val="20"/>
              </w:rPr>
              <w:t>Best used for directional validation. Check the 'Based on X salaries' count -- if sample size is under 50 for a specific title/geography, confidence is low. Good for confirming ranges established by Tier 1 government data.</w:t>
            </w:r>
          </w:p>
        </w:tc>
      </w:tr>
    </w:tbl>
    <w:p/>
    <w:p>
      <w:pPr>
        <w:pStyle w:val="Heading1"/>
      </w:pPr>
      <w:r>
        <w:t>Tier 2: Useful with Caveats</w:t>
      </w:r>
    </w:p>
    <w:p>
      <w:r>
        <w:t>These sources provide valuable data points but have known biases or limitations. Use them to supplement Tier 1 data, not as primary sources. Always note the caveats when presenting data from these sources.</w:t>
      </w:r>
    </w:p>
    <w:p>
      <w:pPr>
        <w:pStyle w:val="Heading2"/>
      </w:pPr>
      <w:r>
        <w:t>Glassdoor</w:t>
      </w:r>
    </w:p>
    <w:tbl>
      <w:tblPr>
        <w:tblStyle w:val="TableGrid"/>
        <w:tblW w:type="auto" w:w="0"/>
        <w:jc w:val="center"/>
        <w:tblLook w:firstColumn="1" w:firstRow="1" w:lastColumn="0" w:lastRow="0" w:noHBand="0" w:noVBand="1" w:val="04A0"/>
      </w:tblPr>
      <w:tblGrid>
        <w:gridCol w:w="4680"/>
        <w:gridCol w:w="4680"/>
      </w:tblGrid>
      <w:tr>
        <w:tc>
          <w:tcPr>
            <w:tcW w:type="dxa" w:w="2160"/>
            <w:shd w:fill="1A3A5C"/>
          </w:tcPr>
          <w:p>
            <w:pPr>
              <w:jc w:val="left"/>
            </w:pPr>
            <w:r/>
            <w:r>
              <w:rPr>
                <w:rFonts w:ascii="Calibri" w:hAnsi="Calibri"/>
                <w:b/>
                <w:color w:val="FFFFFF"/>
                <w:sz w:val="20"/>
              </w:rPr>
              <w:t>Attribute</w:t>
            </w:r>
          </w:p>
        </w:tc>
        <w:tc>
          <w:tcPr>
            <w:tcW w:type="dxa" w:w="7200"/>
            <w:shd w:fill="1A3A5C"/>
          </w:tcPr>
          <w:p>
            <w:pPr>
              <w:jc w:val="left"/>
            </w:pPr>
            <w:r/>
            <w:r>
              <w:rPr>
                <w:rFonts w:ascii="Calibri" w:hAnsi="Calibri"/>
                <w:b/>
                <w:color w:val="FFFFFF"/>
                <w:sz w:val="20"/>
              </w:rPr>
              <w:t>Detail</w:t>
            </w:r>
          </w:p>
        </w:tc>
      </w:tr>
      <w:tr>
        <w:tc>
          <w:tcPr>
            <w:tcW w:type="dxa" w:w="2160"/>
          </w:tcPr>
          <w:p>
            <w:r/>
            <w:r>
              <w:rPr>
                <w:rFonts w:ascii="Calibri" w:hAnsi="Calibri"/>
                <w:color w:val="333333"/>
                <w:sz w:val="20"/>
              </w:rPr>
              <w:t>URL</w:t>
            </w:r>
          </w:p>
        </w:tc>
        <w:tc>
          <w:tcPr>
            <w:tcW w:type="dxa" w:w="7200"/>
          </w:tcPr>
          <w:p>
            <w:r/>
            <w:r>
              <w:rPr>
                <w:rFonts w:ascii="Calibri" w:hAnsi="Calibri"/>
                <w:color w:val="333333"/>
                <w:sz w:val="20"/>
              </w:rPr>
              <w:t>https://www.glassdoor.com/Salaries/</w:t>
            </w:r>
          </w:p>
        </w:tc>
      </w:tr>
      <w:tr>
        <w:tc>
          <w:tcPr>
            <w:tcW w:type="dxa" w:w="2160"/>
            <w:shd w:fill="F5F7FA"/>
          </w:tcPr>
          <w:p>
            <w:r/>
            <w:r>
              <w:rPr>
                <w:rFonts w:ascii="Calibri" w:hAnsi="Calibri"/>
                <w:color w:val="333333"/>
                <w:sz w:val="20"/>
              </w:rPr>
              <w:t>Best For</w:t>
            </w:r>
          </w:p>
        </w:tc>
        <w:tc>
          <w:tcPr>
            <w:tcW w:type="dxa" w:w="7200"/>
            <w:shd w:fill="F5F7FA"/>
          </w:tcPr>
          <w:p>
            <w:r/>
            <w:r>
              <w:rPr>
                <w:rFonts w:ascii="Calibri" w:hAnsi="Calibri"/>
                <w:color w:val="333333"/>
                <w:sz w:val="20"/>
              </w:rPr>
              <w:t>Company-specific salary data; tech and professional roles; seeing what specific employers pay</w:t>
            </w:r>
          </w:p>
        </w:tc>
      </w:tr>
      <w:tr>
        <w:tc>
          <w:tcPr>
            <w:tcW w:type="dxa" w:w="2160"/>
          </w:tcPr>
          <w:p>
            <w:r/>
            <w:r>
              <w:rPr>
                <w:rFonts w:ascii="Calibri" w:hAnsi="Calibri"/>
                <w:color w:val="333333"/>
                <w:sz w:val="20"/>
              </w:rPr>
              <w:t>Worst For</w:t>
            </w:r>
          </w:p>
        </w:tc>
        <w:tc>
          <w:tcPr>
            <w:tcW w:type="dxa" w:w="7200"/>
          </w:tcPr>
          <w:p>
            <w:r/>
            <w:r>
              <w:rPr>
                <w:rFonts w:ascii="Calibri" w:hAnsi="Calibri"/>
                <w:color w:val="333333"/>
                <w:sz w:val="20"/>
              </w:rPr>
              <w:t>Small companies or roles with fewer than 10 data points; trades and blue-collar roles; geographically thin markets</w:t>
            </w:r>
          </w:p>
        </w:tc>
      </w:tr>
      <w:tr>
        <w:tc>
          <w:tcPr>
            <w:tcW w:type="dxa" w:w="2160"/>
            <w:shd w:fill="F5F7FA"/>
          </w:tcPr>
          <w:p>
            <w:r/>
            <w:r>
              <w:rPr>
                <w:rFonts w:ascii="Calibri" w:hAnsi="Calibri"/>
                <w:color w:val="333333"/>
                <w:sz w:val="20"/>
              </w:rPr>
              <w:t>Bias Direction</w:t>
            </w:r>
          </w:p>
        </w:tc>
        <w:tc>
          <w:tcPr>
            <w:tcW w:type="dxa" w:w="7200"/>
            <w:shd w:fill="F5F7FA"/>
          </w:tcPr>
          <w:p>
            <w:r/>
            <w:r>
              <w:rPr>
                <w:rFonts w:ascii="Calibri" w:hAnsi="Calibri"/>
                <w:color w:val="333333"/>
                <w:sz w:val="20"/>
              </w:rPr>
              <w:t>Tends to run high (5-15% above market) for professional roles. Self-reported by employees, who skew toward higher-paid respondents. Also mixes all company sizes in the same average.</w:t>
            </w:r>
          </w:p>
        </w:tc>
      </w:tr>
      <w:tr>
        <w:tc>
          <w:tcPr>
            <w:tcW w:type="dxa" w:w="2160"/>
          </w:tcPr>
          <w:p>
            <w:r/>
            <w:r>
              <w:rPr>
                <w:rFonts w:ascii="Calibri" w:hAnsi="Calibri"/>
                <w:color w:val="333333"/>
                <w:sz w:val="20"/>
              </w:rPr>
              <w:t>Sample Size</w:t>
            </w:r>
          </w:p>
        </w:tc>
        <w:tc>
          <w:tcPr>
            <w:tcW w:type="dxa" w:w="7200"/>
          </w:tcPr>
          <w:p>
            <w:r/>
            <w:r>
              <w:rPr>
                <w:rFonts w:ascii="Calibri" w:hAnsi="Calibri"/>
                <w:color w:val="333333"/>
                <w:sz w:val="20"/>
              </w:rPr>
              <w:t>Medium. Relies on voluntary employee submissions. Check 'X salaries reported' count carefully.</w:t>
            </w:r>
          </w:p>
        </w:tc>
      </w:tr>
      <w:tr>
        <w:tc>
          <w:tcPr>
            <w:tcW w:type="dxa" w:w="2160"/>
            <w:shd w:fill="F5F7FA"/>
          </w:tcPr>
          <w:p>
            <w:r/>
            <w:r>
              <w:rPr>
                <w:rFonts w:ascii="Calibri" w:hAnsi="Calibri"/>
                <w:color w:val="333333"/>
                <w:sz w:val="20"/>
              </w:rPr>
              <w:t>Geographic Coverage</w:t>
            </w:r>
          </w:p>
        </w:tc>
        <w:tc>
          <w:tcPr>
            <w:tcW w:type="dxa" w:w="7200"/>
            <w:shd w:fill="F5F7FA"/>
          </w:tcPr>
          <w:p>
            <w:r/>
            <w:r>
              <w:rPr>
                <w:rFonts w:ascii="Calibri" w:hAnsi="Calibri"/>
                <w:color w:val="333333"/>
                <w:sz w:val="20"/>
              </w:rPr>
              <w:t>US, Canada, and international; city-level available but sample thins quickly outside major metros</w:t>
            </w:r>
          </w:p>
        </w:tc>
      </w:tr>
      <w:tr>
        <w:tc>
          <w:tcPr>
            <w:tcW w:type="dxa" w:w="2160"/>
          </w:tcPr>
          <w:p>
            <w:r/>
            <w:r>
              <w:rPr>
                <w:rFonts w:ascii="Calibri" w:hAnsi="Calibri"/>
                <w:color w:val="333333"/>
                <w:sz w:val="20"/>
              </w:rPr>
              <w:t>Update Frequency</w:t>
            </w:r>
          </w:p>
        </w:tc>
        <w:tc>
          <w:tcPr>
            <w:tcW w:type="dxa" w:w="7200"/>
          </w:tcPr>
          <w:p>
            <w:r/>
            <w:r>
              <w:rPr>
                <w:rFonts w:ascii="Calibri" w:hAnsi="Calibri"/>
                <w:color w:val="333333"/>
                <w:sz w:val="20"/>
              </w:rPr>
              <w:t>Continuous (rolling submissions)</w:t>
            </w:r>
          </w:p>
        </w:tc>
      </w:tr>
      <w:tr>
        <w:tc>
          <w:tcPr>
            <w:tcW w:type="dxa" w:w="2160"/>
            <w:shd w:fill="F5F7FA"/>
          </w:tcPr>
          <w:p>
            <w:r/>
            <w:r>
              <w:rPr>
                <w:rFonts w:ascii="Calibri" w:hAnsi="Calibri"/>
                <w:color w:val="333333"/>
                <w:sz w:val="20"/>
              </w:rPr>
              <w:t>Usage Notes</w:t>
            </w:r>
          </w:p>
        </w:tc>
        <w:tc>
          <w:tcPr>
            <w:tcW w:type="dxa" w:w="7200"/>
            <w:shd w:fill="F5F7FA"/>
          </w:tcPr>
          <w:p>
            <w:r/>
            <w:r>
              <w:rPr>
                <w:rFonts w:ascii="Calibri" w:hAnsi="Calibri"/>
                <w:color w:val="333333"/>
                <w:sz w:val="20"/>
              </w:rPr>
              <w:t>Verify sample size before using. Glassdoor data for 'Business Analyst in Omaha' with 3 salaries reported is not reliable. Company-specific data is valuable for competitive intelligence but may not represent the broader market.</w:t>
            </w:r>
          </w:p>
        </w:tc>
      </w:tr>
    </w:tbl>
    <w:p/>
    <w:p>
      <w:pPr>
        <w:pStyle w:val="Heading2"/>
      </w:pPr>
      <w:r>
        <w:t>PayScale</w:t>
      </w:r>
    </w:p>
    <w:tbl>
      <w:tblPr>
        <w:tblStyle w:val="TableGrid"/>
        <w:tblW w:type="auto" w:w="0"/>
        <w:jc w:val="center"/>
        <w:tblLook w:firstColumn="1" w:firstRow="1" w:lastColumn="0" w:lastRow="0" w:noHBand="0" w:noVBand="1" w:val="04A0"/>
      </w:tblPr>
      <w:tblGrid>
        <w:gridCol w:w="4680"/>
        <w:gridCol w:w="4680"/>
      </w:tblGrid>
      <w:tr>
        <w:tc>
          <w:tcPr>
            <w:tcW w:type="dxa" w:w="2160"/>
            <w:shd w:fill="1A3A5C"/>
          </w:tcPr>
          <w:p>
            <w:pPr>
              <w:jc w:val="left"/>
            </w:pPr>
            <w:r/>
            <w:r>
              <w:rPr>
                <w:rFonts w:ascii="Calibri" w:hAnsi="Calibri"/>
                <w:b/>
                <w:color w:val="FFFFFF"/>
                <w:sz w:val="20"/>
              </w:rPr>
              <w:t>Attribute</w:t>
            </w:r>
          </w:p>
        </w:tc>
        <w:tc>
          <w:tcPr>
            <w:tcW w:type="dxa" w:w="7200"/>
            <w:shd w:fill="1A3A5C"/>
          </w:tcPr>
          <w:p>
            <w:pPr>
              <w:jc w:val="left"/>
            </w:pPr>
            <w:r/>
            <w:r>
              <w:rPr>
                <w:rFonts w:ascii="Calibri" w:hAnsi="Calibri"/>
                <w:b/>
                <w:color w:val="FFFFFF"/>
                <w:sz w:val="20"/>
              </w:rPr>
              <w:t>Detail</w:t>
            </w:r>
          </w:p>
        </w:tc>
      </w:tr>
      <w:tr>
        <w:tc>
          <w:tcPr>
            <w:tcW w:type="dxa" w:w="2160"/>
          </w:tcPr>
          <w:p>
            <w:r/>
            <w:r>
              <w:rPr>
                <w:rFonts w:ascii="Calibri" w:hAnsi="Calibri"/>
                <w:color w:val="333333"/>
                <w:sz w:val="20"/>
              </w:rPr>
              <w:t>URL</w:t>
            </w:r>
          </w:p>
        </w:tc>
        <w:tc>
          <w:tcPr>
            <w:tcW w:type="dxa" w:w="7200"/>
          </w:tcPr>
          <w:p>
            <w:r/>
            <w:r>
              <w:rPr>
                <w:rFonts w:ascii="Calibri" w:hAnsi="Calibri"/>
                <w:color w:val="333333"/>
                <w:sz w:val="20"/>
              </w:rPr>
              <w:t>https://www.payscale.com/research/</w:t>
            </w:r>
          </w:p>
        </w:tc>
      </w:tr>
      <w:tr>
        <w:tc>
          <w:tcPr>
            <w:tcW w:type="dxa" w:w="2160"/>
            <w:shd w:fill="F5F7FA"/>
          </w:tcPr>
          <w:p>
            <w:r/>
            <w:r>
              <w:rPr>
                <w:rFonts w:ascii="Calibri" w:hAnsi="Calibri"/>
                <w:color w:val="333333"/>
                <w:sz w:val="20"/>
              </w:rPr>
              <w:t>Best For</w:t>
            </w:r>
          </w:p>
        </w:tc>
        <w:tc>
          <w:tcPr>
            <w:tcW w:type="dxa" w:w="7200"/>
            <w:shd w:fill="F5F7FA"/>
          </w:tcPr>
          <w:p>
            <w:r/>
            <w:r>
              <w:rPr>
                <w:rFonts w:ascii="Calibri" w:hAnsi="Calibri"/>
                <w:color w:val="333333"/>
                <w:sz w:val="20"/>
              </w:rPr>
              <w:t>Percentile breakdowns (P10/P25/P50/P75/P90); experience-level adjustments; nice visualization of how pay changes with experience</w:t>
            </w:r>
          </w:p>
        </w:tc>
      </w:tr>
      <w:tr>
        <w:tc>
          <w:tcPr>
            <w:tcW w:type="dxa" w:w="2160"/>
          </w:tcPr>
          <w:p>
            <w:r/>
            <w:r>
              <w:rPr>
                <w:rFonts w:ascii="Calibri" w:hAnsi="Calibri"/>
                <w:color w:val="333333"/>
                <w:sz w:val="20"/>
              </w:rPr>
              <w:t>Worst For</w:t>
            </w:r>
          </w:p>
        </w:tc>
        <w:tc>
          <w:tcPr>
            <w:tcW w:type="dxa" w:w="7200"/>
          </w:tcPr>
          <w:p>
            <w:r/>
            <w:r>
              <w:rPr>
                <w:rFonts w:ascii="Calibri" w:hAnsi="Calibri"/>
                <w:color w:val="333333"/>
                <w:sz w:val="20"/>
              </w:rPr>
              <w:t>Small sample sizes in many categories; can be slow to update; geographic coverage thins outside US/Canada major metros</w:t>
            </w:r>
          </w:p>
        </w:tc>
      </w:tr>
      <w:tr>
        <w:tc>
          <w:tcPr>
            <w:tcW w:type="dxa" w:w="2160"/>
            <w:shd w:fill="F5F7FA"/>
          </w:tcPr>
          <w:p>
            <w:r/>
            <w:r>
              <w:rPr>
                <w:rFonts w:ascii="Calibri" w:hAnsi="Calibri"/>
                <w:color w:val="333333"/>
                <w:sz w:val="20"/>
              </w:rPr>
              <w:t>Bias Direction</w:t>
            </w:r>
          </w:p>
        </w:tc>
        <w:tc>
          <w:tcPr>
            <w:tcW w:type="dxa" w:w="7200"/>
            <w:shd w:fill="F5F7FA"/>
          </w:tcPr>
          <w:p>
            <w:r/>
            <w:r>
              <w:rPr>
                <w:rFonts w:ascii="Calibri" w:hAnsi="Calibri"/>
                <w:color w:val="333333"/>
                <w:sz w:val="20"/>
              </w:rPr>
              <w:t>Moderate. Self-reported. Tends to be more conservative than Glassdoor but less reliable than government data. Can run 5-8% low for hot markets.</w:t>
            </w:r>
          </w:p>
        </w:tc>
      </w:tr>
      <w:tr>
        <w:tc>
          <w:tcPr>
            <w:tcW w:type="dxa" w:w="2160"/>
          </w:tcPr>
          <w:p>
            <w:r/>
            <w:r>
              <w:rPr>
                <w:rFonts w:ascii="Calibri" w:hAnsi="Calibri"/>
                <w:color w:val="333333"/>
                <w:sz w:val="20"/>
              </w:rPr>
              <w:t>Sample Size</w:t>
            </w:r>
          </w:p>
        </w:tc>
        <w:tc>
          <w:tcPr>
            <w:tcW w:type="dxa" w:w="7200"/>
          </w:tcPr>
          <w:p>
            <w:r/>
            <w:r>
              <w:rPr>
                <w:rFonts w:ascii="Calibri" w:hAnsi="Calibri"/>
                <w:color w:val="333333"/>
                <w:sz w:val="20"/>
              </w:rPr>
              <w:t>Medium. Smaller than Indeed or Glassdoor. Always check respondent count.</w:t>
            </w:r>
          </w:p>
        </w:tc>
      </w:tr>
      <w:tr>
        <w:tc>
          <w:tcPr>
            <w:tcW w:type="dxa" w:w="2160"/>
            <w:shd w:fill="F5F7FA"/>
          </w:tcPr>
          <w:p>
            <w:r/>
            <w:r>
              <w:rPr>
                <w:rFonts w:ascii="Calibri" w:hAnsi="Calibri"/>
                <w:color w:val="333333"/>
                <w:sz w:val="20"/>
              </w:rPr>
              <w:t>Geographic Coverage</w:t>
            </w:r>
          </w:p>
        </w:tc>
        <w:tc>
          <w:tcPr>
            <w:tcW w:type="dxa" w:w="7200"/>
            <w:shd w:fill="F5F7FA"/>
          </w:tcPr>
          <w:p>
            <w:r/>
            <w:r>
              <w:rPr>
                <w:rFonts w:ascii="Calibri" w:hAnsi="Calibri"/>
                <w:color w:val="333333"/>
                <w:sz w:val="20"/>
              </w:rPr>
              <w:t>Primarily US and Canada; some international data</w:t>
            </w:r>
          </w:p>
        </w:tc>
      </w:tr>
      <w:tr>
        <w:tc>
          <w:tcPr>
            <w:tcW w:type="dxa" w:w="2160"/>
          </w:tcPr>
          <w:p>
            <w:r/>
            <w:r>
              <w:rPr>
                <w:rFonts w:ascii="Calibri" w:hAnsi="Calibri"/>
                <w:color w:val="333333"/>
                <w:sz w:val="20"/>
              </w:rPr>
              <w:t>Update Frequency</w:t>
            </w:r>
          </w:p>
        </w:tc>
        <w:tc>
          <w:tcPr>
            <w:tcW w:type="dxa" w:w="7200"/>
          </w:tcPr>
          <w:p>
            <w:r/>
            <w:r>
              <w:rPr>
                <w:rFonts w:ascii="Calibri" w:hAnsi="Calibri"/>
                <w:color w:val="333333"/>
                <w:sz w:val="20"/>
              </w:rPr>
              <w:t>Continuous but may lag actual market by 6-12 months in fast-moving sectors</w:t>
            </w:r>
          </w:p>
        </w:tc>
      </w:tr>
      <w:tr>
        <w:tc>
          <w:tcPr>
            <w:tcW w:type="dxa" w:w="2160"/>
            <w:shd w:fill="F5F7FA"/>
          </w:tcPr>
          <w:p>
            <w:r/>
            <w:r>
              <w:rPr>
                <w:rFonts w:ascii="Calibri" w:hAnsi="Calibri"/>
                <w:color w:val="333333"/>
                <w:sz w:val="20"/>
              </w:rPr>
              <w:t>Usage Notes</w:t>
            </w:r>
          </w:p>
        </w:tc>
        <w:tc>
          <w:tcPr>
            <w:tcW w:type="dxa" w:w="7200"/>
            <w:shd w:fill="F5F7FA"/>
          </w:tcPr>
          <w:p>
            <w:r/>
            <w:r>
              <w:rPr>
                <w:rFonts w:ascii="Calibri" w:hAnsi="Calibri"/>
                <w:color w:val="333333"/>
                <w:sz w:val="20"/>
              </w:rPr>
              <w:t>The percentile breakdown is the main value-add. Use PayScale to understand the distribution shape (tight vs. wide spread) rather than the absolute dollar amount. If PayScale and BLS disagree, trust BLS.</w:t>
            </w:r>
          </w:p>
        </w:tc>
      </w:tr>
    </w:tbl>
    <w:p/>
    <w:p>
      <w:pPr>
        <w:pStyle w:val="Heading2"/>
      </w:pPr>
      <w:r>
        <w:t>LinkedIn Salary Insights</w:t>
      </w:r>
    </w:p>
    <w:tbl>
      <w:tblPr>
        <w:tblStyle w:val="TableGrid"/>
        <w:tblW w:type="auto" w:w="0"/>
        <w:jc w:val="center"/>
        <w:tblLook w:firstColumn="1" w:firstRow="1" w:lastColumn="0" w:lastRow="0" w:noHBand="0" w:noVBand="1" w:val="04A0"/>
      </w:tblPr>
      <w:tblGrid>
        <w:gridCol w:w="4680"/>
        <w:gridCol w:w="4680"/>
      </w:tblGrid>
      <w:tr>
        <w:tc>
          <w:tcPr>
            <w:tcW w:type="dxa" w:w="2160"/>
            <w:shd w:fill="1A3A5C"/>
          </w:tcPr>
          <w:p>
            <w:pPr>
              <w:jc w:val="left"/>
            </w:pPr>
            <w:r/>
            <w:r>
              <w:rPr>
                <w:rFonts w:ascii="Calibri" w:hAnsi="Calibri"/>
                <w:b/>
                <w:color w:val="FFFFFF"/>
                <w:sz w:val="20"/>
              </w:rPr>
              <w:t>Attribute</w:t>
            </w:r>
          </w:p>
        </w:tc>
        <w:tc>
          <w:tcPr>
            <w:tcW w:type="dxa" w:w="7200"/>
            <w:shd w:fill="1A3A5C"/>
          </w:tcPr>
          <w:p>
            <w:pPr>
              <w:jc w:val="left"/>
            </w:pPr>
            <w:r/>
            <w:r>
              <w:rPr>
                <w:rFonts w:ascii="Calibri" w:hAnsi="Calibri"/>
                <w:b/>
                <w:color w:val="FFFFFF"/>
                <w:sz w:val="20"/>
              </w:rPr>
              <w:t>Detail</w:t>
            </w:r>
          </w:p>
        </w:tc>
      </w:tr>
      <w:tr>
        <w:tc>
          <w:tcPr>
            <w:tcW w:type="dxa" w:w="2160"/>
          </w:tcPr>
          <w:p>
            <w:r/>
            <w:r>
              <w:rPr>
                <w:rFonts w:ascii="Calibri" w:hAnsi="Calibri"/>
                <w:color w:val="333333"/>
                <w:sz w:val="20"/>
              </w:rPr>
              <w:t>URL</w:t>
            </w:r>
          </w:p>
        </w:tc>
        <w:tc>
          <w:tcPr>
            <w:tcW w:type="dxa" w:w="7200"/>
          </w:tcPr>
          <w:p>
            <w:r/>
            <w:r>
              <w:rPr>
                <w:rFonts w:ascii="Calibri" w:hAnsi="Calibri"/>
                <w:color w:val="333333"/>
                <w:sz w:val="20"/>
              </w:rPr>
              <w:t>https://www.linkedin.com/salary/</w:t>
            </w:r>
          </w:p>
        </w:tc>
      </w:tr>
      <w:tr>
        <w:tc>
          <w:tcPr>
            <w:tcW w:type="dxa" w:w="2160"/>
            <w:shd w:fill="F5F7FA"/>
          </w:tcPr>
          <w:p>
            <w:r/>
            <w:r>
              <w:rPr>
                <w:rFonts w:ascii="Calibri" w:hAnsi="Calibri"/>
                <w:color w:val="333333"/>
                <w:sz w:val="20"/>
              </w:rPr>
              <w:t>Best For</w:t>
            </w:r>
          </w:p>
        </w:tc>
        <w:tc>
          <w:tcPr>
            <w:tcW w:type="dxa" w:w="7200"/>
            <w:shd w:fill="F5F7FA"/>
          </w:tcPr>
          <w:p>
            <w:r/>
            <w:r>
              <w:rPr>
                <w:rFonts w:ascii="Calibri" w:hAnsi="Calibri"/>
                <w:color w:val="333333"/>
                <w:sz w:val="20"/>
              </w:rPr>
              <w:t>Tech, professional services, and knowledge worker roles; experience-level and education breakdowns; company-level data</w:t>
            </w:r>
          </w:p>
        </w:tc>
      </w:tr>
      <w:tr>
        <w:tc>
          <w:tcPr>
            <w:tcW w:type="dxa" w:w="2160"/>
          </w:tcPr>
          <w:p>
            <w:r/>
            <w:r>
              <w:rPr>
                <w:rFonts w:ascii="Calibri" w:hAnsi="Calibri"/>
                <w:color w:val="333333"/>
                <w:sz w:val="20"/>
              </w:rPr>
              <w:t>Worst For</w:t>
            </w:r>
          </w:p>
        </w:tc>
        <w:tc>
          <w:tcPr>
            <w:tcW w:type="dxa" w:w="7200"/>
          </w:tcPr>
          <w:p>
            <w:r/>
            <w:r>
              <w:rPr>
                <w:rFonts w:ascii="Calibri" w:hAnsi="Calibri"/>
                <w:color w:val="333333"/>
                <w:sz w:val="20"/>
              </w:rPr>
              <w:t>Trades, manufacturing, healthcare, hospitality, retail; roles with low LinkedIn penetration</w:t>
            </w:r>
          </w:p>
        </w:tc>
      </w:tr>
      <w:tr>
        <w:tc>
          <w:tcPr>
            <w:tcW w:type="dxa" w:w="2160"/>
            <w:shd w:fill="F5F7FA"/>
          </w:tcPr>
          <w:p>
            <w:r/>
            <w:r>
              <w:rPr>
                <w:rFonts w:ascii="Calibri" w:hAnsi="Calibri"/>
                <w:color w:val="333333"/>
                <w:sz w:val="20"/>
              </w:rPr>
              <w:t>Bias Direction</w:t>
            </w:r>
          </w:p>
        </w:tc>
        <w:tc>
          <w:tcPr>
            <w:tcW w:type="dxa" w:w="7200"/>
            <w:shd w:fill="F5F7FA"/>
          </w:tcPr>
          <w:p>
            <w:r/>
            <w:r>
              <w:rPr>
                <w:rFonts w:ascii="Calibri" w:hAnsi="Calibri"/>
                <w:color w:val="333333"/>
                <w:sz w:val="20"/>
              </w:rPr>
              <w:t>Tends to run high (5-10%). LinkedIn's user base skews toward professional and tech workers who tend to earn more. Data is biased toward the LinkedIn demographic.</w:t>
            </w:r>
          </w:p>
        </w:tc>
      </w:tr>
      <w:tr>
        <w:tc>
          <w:tcPr>
            <w:tcW w:type="dxa" w:w="2160"/>
          </w:tcPr>
          <w:p>
            <w:r/>
            <w:r>
              <w:rPr>
                <w:rFonts w:ascii="Calibri" w:hAnsi="Calibri"/>
                <w:color w:val="333333"/>
                <w:sz w:val="20"/>
              </w:rPr>
              <w:t>Sample Size</w:t>
            </w:r>
          </w:p>
        </w:tc>
        <w:tc>
          <w:tcPr>
            <w:tcW w:type="dxa" w:w="7200"/>
          </w:tcPr>
          <w:p>
            <w:r/>
            <w:r>
              <w:rPr>
                <w:rFonts w:ascii="Calibri" w:hAnsi="Calibri"/>
                <w:color w:val="333333"/>
                <w:sz w:val="20"/>
              </w:rPr>
              <w:t>Medium-large for professional roles. Very thin for non-professional roles.</w:t>
            </w:r>
          </w:p>
        </w:tc>
      </w:tr>
      <w:tr>
        <w:tc>
          <w:tcPr>
            <w:tcW w:type="dxa" w:w="2160"/>
            <w:shd w:fill="F5F7FA"/>
          </w:tcPr>
          <w:p>
            <w:r/>
            <w:r>
              <w:rPr>
                <w:rFonts w:ascii="Calibri" w:hAnsi="Calibri"/>
                <w:color w:val="333333"/>
                <w:sz w:val="20"/>
              </w:rPr>
              <w:t>Geographic Coverage</w:t>
            </w:r>
          </w:p>
        </w:tc>
        <w:tc>
          <w:tcPr>
            <w:tcW w:type="dxa" w:w="7200"/>
            <w:shd w:fill="F5F7FA"/>
          </w:tcPr>
          <w:p>
            <w:r/>
            <w:r>
              <w:rPr>
                <w:rFonts w:ascii="Calibri" w:hAnsi="Calibri"/>
                <w:color w:val="333333"/>
                <w:sz w:val="20"/>
              </w:rPr>
              <w:t>US primarily; some Canadian and international data. City-level available.</w:t>
            </w:r>
          </w:p>
        </w:tc>
      </w:tr>
      <w:tr>
        <w:tc>
          <w:tcPr>
            <w:tcW w:type="dxa" w:w="2160"/>
          </w:tcPr>
          <w:p>
            <w:r/>
            <w:r>
              <w:rPr>
                <w:rFonts w:ascii="Calibri" w:hAnsi="Calibri"/>
                <w:color w:val="333333"/>
                <w:sz w:val="20"/>
              </w:rPr>
              <w:t>Update Frequency</w:t>
            </w:r>
          </w:p>
        </w:tc>
        <w:tc>
          <w:tcPr>
            <w:tcW w:type="dxa" w:w="7200"/>
          </w:tcPr>
          <w:p>
            <w:r/>
            <w:r>
              <w:rPr>
                <w:rFonts w:ascii="Calibri" w:hAnsi="Calibri"/>
                <w:color w:val="333333"/>
                <w:sz w:val="20"/>
              </w:rPr>
              <w:t>Continuous (based on member-reported data)</w:t>
            </w:r>
          </w:p>
        </w:tc>
      </w:tr>
      <w:tr>
        <w:tc>
          <w:tcPr>
            <w:tcW w:type="dxa" w:w="2160"/>
            <w:shd w:fill="F5F7FA"/>
          </w:tcPr>
          <w:p>
            <w:r/>
            <w:r>
              <w:rPr>
                <w:rFonts w:ascii="Calibri" w:hAnsi="Calibri"/>
                <w:color w:val="333333"/>
                <w:sz w:val="20"/>
              </w:rPr>
              <w:t>Usage Notes</w:t>
            </w:r>
          </w:p>
        </w:tc>
        <w:tc>
          <w:tcPr>
            <w:tcW w:type="dxa" w:w="7200"/>
            <w:shd w:fill="F5F7FA"/>
          </w:tcPr>
          <w:p>
            <w:r/>
            <w:r>
              <w:rPr>
                <w:rFonts w:ascii="Calibri" w:hAnsi="Calibri"/>
                <w:color w:val="333333"/>
                <w:sz w:val="20"/>
              </w:rPr>
              <w:t>Useful for tech and professional roles where LinkedIn penetration is high. Not useful for roles where the workforce is not on LinkedIn. Cross-reference with government data to calibrate. Note: LinkedIn's salary feature has been restructured and availability varies by market. Verify current access before relying on this source. LinkedIn job postings with disclosed salary ranges remain a viable alternative data source.</w:t>
            </w:r>
          </w:p>
        </w:tc>
      </w:tr>
    </w:tbl>
    <w:p/>
    <w:p>
      <w:pPr>
        <w:pStyle w:val="Heading2"/>
      </w:pPr>
      <w:r>
        <w:t>Salary.com</w:t>
      </w:r>
    </w:p>
    <w:tbl>
      <w:tblPr>
        <w:tblStyle w:val="TableGrid"/>
        <w:tblW w:type="auto" w:w="0"/>
        <w:jc w:val="center"/>
        <w:tblLook w:firstColumn="1" w:firstRow="1" w:lastColumn="0" w:lastRow="0" w:noHBand="0" w:noVBand="1" w:val="04A0"/>
      </w:tblPr>
      <w:tblGrid>
        <w:gridCol w:w="4680"/>
        <w:gridCol w:w="4680"/>
      </w:tblGrid>
      <w:tr>
        <w:tc>
          <w:tcPr>
            <w:tcW w:type="dxa" w:w="2160"/>
            <w:shd w:fill="1A3A5C"/>
          </w:tcPr>
          <w:p>
            <w:pPr>
              <w:jc w:val="left"/>
            </w:pPr>
            <w:r/>
            <w:r>
              <w:rPr>
                <w:rFonts w:ascii="Calibri" w:hAnsi="Calibri"/>
                <w:b/>
                <w:color w:val="FFFFFF"/>
                <w:sz w:val="20"/>
              </w:rPr>
              <w:t>Attribute</w:t>
            </w:r>
          </w:p>
        </w:tc>
        <w:tc>
          <w:tcPr>
            <w:tcW w:type="dxa" w:w="7200"/>
            <w:shd w:fill="1A3A5C"/>
          </w:tcPr>
          <w:p>
            <w:pPr>
              <w:jc w:val="left"/>
            </w:pPr>
            <w:r/>
            <w:r>
              <w:rPr>
                <w:rFonts w:ascii="Calibri" w:hAnsi="Calibri"/>
                <w:b/>
                <w:color w:val="FFFFFF"/>
                <w:sz w:val="20"/>
              </w:rPr>
              <w:t>Detail</w:t>
            </w:r>
          </w:p>
        </w:tc>
      </w:tr>
      <w:tr>
        <w:tc>
          <w:tcPr>
            <w:tcW w:type="dxa" w:w="2160"/>
          </w:tcPr>
          <w:p>
            <w:r/>
            <w:r>
              <w:rPr>
                <w:rFonts w:ascii="Calibri" w:hAnsi="Calibri"/>
                <w:color w:val="333333"/>
                <w:sz w:val="20"/>
              </w:rPr>
              <w:t>URL</w:t>
            </w:r>
          </w:p>
        </w:tc>
        <w:tc>
          <w:tcPr>
            <w:tcW w:type="dxa" w:w="7200"/>
          </w:tcPr>
          <w:p>
            <w:r/>
            <w:r>
              <w:rPr>
                <w:rFonts w:ascii="Calibri" w:hAnsi="Calibri"/>
                <w:color w:val="333333"/>
                <w:sz w:val="20"/>
              </w:rPr>
              <w:t>https://www.salary.com/research/salary/</w:t>
            </w:r>
          </w:p>
        </w:tc>
      </w:tr>
      <w:tr>
        <w:tc>
          <w:tcPr>
            <w:tcW w:type="dxa" w:w="2160"/>
            <w:shd w:fill="F5F7FA"/>
          </w:tcPr>
          <w:p>
            <w:r/>
            <w:r>
              <w:rPr>
                <w:rFonts w:ascii="Calibri" w:hAnsi="Calibri"/>
                <w:color w:val="333333"/>
                <w:sz w:val="20"/>
              </w:rPr>
              <w:t>Best For</w:t>
            </w:r>
          </w:p>
        </w:tc>
        <w:tc>
          <w:tcPr>
            <w:tcW w:type="dxa" w:w="7200"/>
            <w:shd w:fill="F5F7FA"/>
          </w:tcPr>
          <w:p>
            <w:r/>
            <w:r>
              <w:rPr>
                <w:rFonts w:ascii="Calibri" w:hAnsi="Calibri"/>
                <w:color w:val="333333"/>
                <w:sz w:val="20"/>
              </w:rPr>
              <w:t>Quick directional estimates; job description matching; benefits data</w:t>
            </w:r>
          </w:p>
        </w:tc>
      </w:tr>
      <w:tr>
        <w:tc>
          <w:tcPr>
            <w:tcW w:type="dxa" w:w="2160"/>
          </w:tcPr>
          <w:p>
            <w:r/>
            <w:r>
              <w:rPr>
                <w:rFonts w:ascii="Calibri" w:hAnsi="Calibri"/>
                <w:color w:val="333333"/>
                <w:sz w:val="20"/>
              </w:rPr>
              <w:t>Worst For</w:t>
            </w:r>
          </w:p>
        </w:tc>
        <w:tc>
          <w:tcPr>
            <w:tcW w:type="dxa" w:w="7200"/>
          </w:tcPr>
          <w:p>
            <w:r/>
            <w:r>
              <w:rPr>
                <w:rFonts w:ascii="Calibri" w:hAnsi="Calibri"/>
                <w:color w:val="333333"/>
                <w:sz w:val="20"/>
              </w:rPr>
              <w:t>Accuracy -- this is MODELED data, not survey data. The algorithms can produce numbers that do not match actual market conditions.</w:t>
            </w:r>
          </w:p>
        </w:tc>
      </w:tr>
      <w:tr>
        <w:tc>
          <w:tcPr>
            <w:tcW w:type="dxa" w:w="2160"/>
            <w:shd w:fill="F5F7FA"/>
          </w:tcPr>
          <w:p>
            <w:r/>
            <w:r>
              <w:rPr>
                <w:rFonts w:ascii="Calibri" w:hAnsi="Calibri"/>
                <w:color w:val="333333"/>
                <w:sz w:val="20"/>
              </w:rPr>
              <w:t>Bias Direction</w:t>
            </w:r>
          </w:p>
        </w:tc>
        <w:tc>
          <w:tcPr>
            <w:tcW w:type="dxa" w:w="7200"/>
            <w:shd w:fill="F5F7FA"/>
          </w:tcPr>
          <w:p>
            <w:r/>
            <w:r>
              <w:rPr>
                <w:rFonts w:ascii="Calibri" w:hAnsi="Calibri"/>
                <w:color w:val="333333"/>
                <w:sz w:val="20"/>
              </w:rPr>
              <w:t>Consistently runs 10-15% high for most roles. The modeling algorithm appears to overweight cost-of-living and title seniority.</w:t>
            </w:r>
          </w:p>
        </w:tc>
      </w:tr>
      <w:tr>
        <w:tc>
          <w:tcPr>
            <w:tcW w:type="dxa" w:w="2160"/>
          </w:tcPr>
          <w:p>
            <w:r/>
            <w:r>
              <w:rPr>
                <w:rFonts w:ascii="Calibri" w:hAnsi="Calibri"/>
                <w:color w:val="333333"/>
                <w:sz w:val="20"/>
              </w:rPr>
              <w:t>Sample Size</w:t>
            </w:r>
          </w:p>
        </w:tc>
        <w:tc>
          <w:tcPr>
            <w:tcW w:type="dxa" w:w="7200"/>
          </w:tcPr>
          <w:p>
            <w:r/>
            <w:r>
              <w:rPr>
                <w:rFonts w:ascii="Calibri" w:hAnsi="Calibri"/>
                <w:color w:val="333333"/>
                <w:sz w:val="20"/>
              </w:rPr>
              <w:t>N/A -- this is not survey-based. Numbers are algorithmically generated based on modeling.</w:t>
            </w:r>
          </w:p>
        </w:tc>
      </w:tr>
      <w:tr>
        <w:tc>
          <w:tcPr>
            <w:tcW w:type="dxa" w:w="2160"/>
            <w:shd w:fill="F5F7FA"/>
          </w:tcPr>
          <w:p>
            <w:r/>
            <w:r>
              <w:rPr>
                <w:rFonts w:ascii="Calibri" w:hAnsi="Calibri"/>
                <w:color w:val="333333"/>
                <w:sz w:val="20"/>
              </w:rPr>
              <w:t>Geographic Coverage</w:t>
            </w:r>
          </w:p>
        </w:tc>
        <w:tc>
          <w:tcPr>
            <w:tcW w:type="dxa" w:w="7200"/>
            <w:shd w:fill="F5F7FA"/>
          </w:tcPr>
          <w:p>
            <w:r/>
            <w:r>
              <w:rPr>
                <w:rFonts w:ascii="Calibri" w:hAnsi="Calibri"/>
                <w:color w:val="333333"/>
                <w:sz w:val="20"/>
              </w:rPr>
              <w:t>US; ZIP code-level adjustments available (but remember, modeled not empirical)</w:t>
            </w:r>
          </w:p>
        </w:tc>
      </w:tr>
      <w:tr>
        <w:tc>
          <w:tcPr>
            <w:tcW w:type="dxa" w:w="2160"/>
          </w:tcPr>
          <w:p>
            <w:r/>
            <w:r>
              <w:rPr>
                <w:rFonts w:ascii="Calibri" w:hAnsi="Calibri"/>
                <w:color w:val="333333"/>
                <w:sz w:val="20"/>
              </w:rPr>
              <w:t>Update Frequency</w:t>
            </w:r>
          </w:p>
        </w:tc>
        <w:tc>
          <w:tcPr>
            <w:tcW w:type="dxa" w:w="7200"/>
          </w:tcPr>
          <w:p>
            <w:r/>
            <w:r>
              <w:rPr>
                <w:rFonts w:ascii="Calibri" w:hAnsi="Calibri"/>
                <w:color w:val="333333"/>
                <w:sz w:val="20"/>
              </w:rPr>
              <w:t>Continuous (model updates periodically)</w:t>
            </w:r>
          </w:p>
        </w:tc>
      </w:tr>
      <w:tr>
        <w:tc>
          <w:tcPr>
            <w:tcW w:type="dxa" w:w="2160"/>
            <w:shd w:fill="F5F7FA"/>
          </w:tcPr>
          <w:p>
            <w:r/>
            <w:r>
              <w:rPr>
                <w:rFonts w:ascii="Calibri" w:hAnsi="Calibri"/>
                <w:color w:val="333333"/>
                <w:sz w:val="20"/>
              </w:rPr>
              <w:t>Usage Notes</w:t>
            </w:r>
          </w:p>
        </w:tc>
        <w:tc>
          <w:tcPr>
            <w:tcW w:type="dxa" w:w="7200"/>
            <w:shd w:fill="F5F7FA"/>
          </w:tcPr>
          <w:p>
            <w:r/>
            <w:r>
              <w:rPr>
                <w:rFonts w:ascii="Calibri" w:hAnsi="Calibri"/>
                <w:color w:val="333333"/>
                <w:sz w:val="20"/>
              </w:rPr>
              <w:t>Use with extreme caution. Always note in reports that Salary.com data is modeled/predicted, not empirical. It is useful as a sanity check (if Salary.com says $120K and everything else says $90K, the $120K is almost certainly high). Never use as a primary or sole source.</w:t>
            </w:r>
          </w:p>
        </w:tc>
      </w:tr>
    </w:tbl>
    <w:p/>
    <w:p>
      <w:pPr>
        <w:pStyle w:val="Heading1"/>
      </w:pPr>
      <w:r>
        <w:t>Tier 3: Use for Context Only</w:t>
      </w:r>
    </w:p>
    <w:p>
      <w:r>
        <w:t>These sources have significant known biases or methodological limitations. Use them to add breadth to your analysis but never as primary data points. Always flag Tier 3 data in your report with appropriate caveats.</w:t>
      </w:r>
    </w:p>
    <w:p>
      <w:pPr>
        <w:pStyle w:val="Heading2"/>
      </w:pPr>
      <w:r>
        <w:t>ZipRecruiter</w:t>
      </w:r>
    </w:p>
    <w:tbl>
      <w:tblPr>
        <w:tblStyle w:val="TableGrid"/>
        <w:tblW w:type="auto" w:w="0"/>
        <w:jc w:val="center"/>
        <w:tblLook w:firstColumn="1" w:firstRow="1" w:lastColumn="0" w:lastRow="0" w:noHBand="0" w:noVBand="1" w:val="04A0"/>
      </w:tblPr>
      <w:tblGrid>
        <w:gridCol w:w="4680"/>
        <w:gridCol w:w="4680"/>
      </w:tblGrid>
      <w:tr>
        <w:tc>
          <w:tcPr>
            <w:tcW w:type="dxa" w:w="2160"/>
            <w:shd w:fill="1A3A5C"/>
          </w:tcPr>
          <w:p>
            <w:pPr>
              <w:jc w:val="left"/>
            </w:pPr>
            <w:r/>
            <w:r>
              <w:rPr>
                <w:rFonts w:ascii="Calibri" w:hAnsi="Calibri"/>
                <w:b/>
                <w:color w:val="FFFFFF"/>
                <w:sz w:val="20"/>
              </w:rPr>
              <w:t>Attribute</w:t>
            </w:r>
          </w:p>
        </w:tc>
        <w:tc>
          <w:tcPr>
            <w:tcW w:type="dxa" w:w="7200"/>
            <w:shd w:fill="1A3A5C"/>
          </w:tcPr>
          <w:p>
            <w:pPr>
              <w:jc w:val="left"/>
            </w:pPr>
            <w:r/>
            <w:r>
              <w:rPr>
                <w:rFonts w:ascii="Calibri" w:hAnsi="Calibri"/>
                <w:b/>
                <w:color w:val="FFFFFF"/>
                <w:sz w:val="20"/>
              </w:rPr>
              <w:t>Detail</w:t>
            </w:r>
          </w:p>
        </w:tc>
      </w:tr>
      <w:tr>
        <w:tc>
          <w:tcPr>
            <w:tcW w:type="dxa" w:w="2160"/>
          </w:tcPr>
          <w:p>
            <w:r/>
            <w:r>
              <w:rPr>
                <w:rFonts w:ascii="Calibri" w:hAnsi="Calibri"/>
                <w:color w:val="333333"/>
                <w:sz w:val="20"/>
              </w:rPr>
              <w:t>URL</w:t>
            </w:r>
          </w:p>
        </w:tc>
        <w:tc>
          <w:tcPr>
            <w:tcW w:type="dxa" w:w="7200"/>
          </w:tcPr>
          <w:p>
            <w:r/>
            <w:r>
              <w:rPr>
                <w:rFonts w:ascii="Calibri" w:hAnsi="Calibri"/>
                <w:color w:val="333333"/>
                <w:sz w:val="20"/>
              </w:rPr>
              <w:t>https://www.ziprecruiter.com/Salaries/</w:t>
            </w:r>
          </w:p>
        </w:tc>
      </w:tr>
      <w:tr>
        <w:tc>
          <w:tcPr>
            <w:tcW w:type="dxa" w:w="2160"/>
            <w:shd w:fill="F5F7FA"/>
          </w:tcPr>
          <w:p>
            <w:r/>
            <w:r>
              <w:rPr>
                <w:rFonts w:ascii="Calibri" w:hAnsi="Calibri"/>
                <w:color w:val="333333"/>
                <w:sz w:val="20"/>
              </w:rPr>
              <w:t>Best For</w:t>
            </w:r>
          </w:p>
        </w:tc>
        <w:tc>
          <w:tcPr>
            <w:tcW w:type="dxa" w:w="7200"/>
            <w:shd w:fill="F5F7FA"/>
          </w:tcPr>
          <w:p>
            <w:r/>
            <w:r>
              <w:rPr>
                <w:rFonts w:ascii="Calibri" w:hAnsi="Calibri"/>
                <w:color w:val="333333"/>
                <w:sz w:val="20"/>
              </w:rPr>
              <w:t>Understanding what employers are POSTING (not necessarily paying); high-volume data for common roles</w:t>
            </w:r>
          </w:p>
        </w:tc>
      </w:tr>
      <w:tr>
        <w:tc>
          <w:tcPr>
            <w:tcW w:type="dxa" w:w="2160"/>
          </w:tcPr>
          <w:p>
            <w:r/>
            <w:r>
              <w:rPr>
                <w:rFonts w:ascii="Calibri" w:hAnsi="Calibri"/>
                <w:color w:val="333333"/>
                <w:sz w:val="20"/>
              </w:rPr>
              <w:t>Worst For</w:t>
            </w:r>
          </w:p>
        </w:tc>
        <w:tc>
          <w:tcPr>
            <w:tcW w:type="dxa" w:w="7200"/>
          </w:tcPr>
          <w:p>
            <w:r/>
            <w:r>
              <w:rPr>
                <w:rFonts w:ascii="Calibri" w:hAnsi="Calibri"/>
                <w:color w:val="333333"/>
                <w:sz w:val="20"/>
              </w:rPr>
              <w:t>Accuracy of actual compensation -- consistently underreports market rates. Aggregates job posting ranges, which are often 10-15% below actual hire salaries.</w:t>
            </w:r>
          </w:p>
        </w:tc>
      </w:tr>
      <w:tr>
        <w:tc>
          <w:tcPr>
            <w:tcW w:type="dxa" w:w="2160"/>
            <w:shd w:fill="F5F7FA"/>
          </w:tcPr>
          <w:p>
            <w:r/>
            <w:r>
              <w:rPr>
                <w:rFonts w:ascii="Calibri" w:hAnsi="Calibri"/>
                <w:color w:val="333333"/>
                <w:sz w:val="20"/>
              </w:rPr>
              <w:t>Bias Direction</w:t>
            </w:r>
          </w:p>
        </w:tc>
        <w:tc>
          <w:tcPr>
            <w:tcW w:type="dxa" w:w="7200"/>
            <w:shd w:fill="F5F7FA"/>
          </w:tcPr>
          <w:p>
            <w:r/>
            <w:r>
              <w:rPr>
                <w:rFonts w:ascii="Calibri" w:hAnsi="Calibri"/>
                <w:color w:val="333333"/>
                <w:sz w:val="20"/>
              </w:rPr>
              <w:t>Consistently runs 10-15% LOW. This is because ZipRecruiter aggregates job posting data, and employers post at the lower end of their budget to leave negotiation room.</w:t>
            </w:r>
          </w:p>
        </w:tc>
      </w:tr>
      <w:tr>
        <w:tc>
          <w:tcPr>
            <w:tcW w:type="dxa" w:w="2160"/>
          </w:tcPr>
          <w:p>
            <w:r/>
            <w:r>
              <w:rPr>
                <w:rFonts w:ascii="Calibri" w:hAnsi="Calibri"/>
                <w:color w:val="333333"/>
                <w:sz w:val="20"/>
              </w:rPr>
              <w:t>Sample Size</w:t>
            </w:r>
          </w:p>
        </w:tc>
        <w:tc>
          <w:tcPr>
            <w:tcW w:type="dxa" w:w="7200"/>
          </w:tcPr>
          <w:p>
            <w:r/>
            <w:r>
              <w:rPr>
                <w:rFonts w:ascii="Calibri" w:hAnsi="Calibri"/>
                <w:color w:val="333333"/>
                <w:sz w:val="20"/>
              </w:rPr>
              <w:t>Large (aggregated from millions of job postings), but posting data != actual pay data.</w:t>
            </w:r>
          </w:p>
        </w:tc>
      </w:tr>
      <w:tr>
        <w:tc>
          <w:tcPr>
            <w:tcW w:type="dxa" w:w="2160"/>
            <w:shd w:fill="F5F7FA"/>
          </w:tcPr>
          <w:p>
            <w:r/>
            <w:r>
              <w:rPr>
                <w:rFonts w:ascii="Calibri" w:hAnsi="Calibri"/>
                <w:color w:val="333333"/>
                <w:sz w:val="20"/>
              </w:rPr>
              <w:t>Geographic Coverage</w:t>
            </w:r>
          </w:p>
        </w:tc>
        <w:tc>
          <w:tcPr>
            <w:tcW w:type="dxa" w:w="7200"/>
            <w:shd w:fill="F5F7FA"/>
          </w:tcPr>
          <w:p>
            <w:r/>
            <w:r>
              <w:rPr>
                <w:rFonts w:ascii="Calibri" w:hAnsi="Calibri"/>
                <w:color w:val="333333"/>
                <w:sz w:val="20"/>
              </w:rPr>
              <w:t>US primarily; city-level available</w:t>
            </w:r>
          </w:p>
        </w:tc>
      </w:tr>
      <w:tr>
        <w:tc>
          <w:tcPr>
            <w:tcW w:type="dxa" w:w="2160"/>
          </w:tcPr>
          <w:p>
            <w:r/>
            <w:r>
              <w:rPr>
                <w:rFonts w:ascii="Calibri" w:hAnsi="Calibri"/>
                <w:color w:val="333333"/>
                <w:sz w:val="20"/>
              </w:rPr>
              <w:t>Update Frequency</w:t>
            </w:r>
          </w:p>
        </w:tc>
        <w:tc>
          <w:tcPr>
            <w:tcW w:type="dxa" w:w="7200"/>
          </w:tcPr>
          <w:p>
            <w:r/>
            <w:r>
              <w:rPr>
                <w:rFonts w:ascii="Calibri" w:hAnsi="Calibri"/>
                <w:color w:val="333333"/>
                <w:sz w:val="20"/>
              </w:rPr>
              <w:t>Continuous</w:t>
            </w:r>
          </w:p>
        </w:tc>
      </w:tr>
      <w:tr>
        <w:tc>
          <w:tcPr>
            <w:tcW w:type="dxa" w:w="2160"/>
            <w:shd w:fill="F5F7FA"/>
          </w:tcPr>
          <w:p>
            <w:r/>
            <w:r>
              <w:rPr>
                <w:rFonts w:ascii="Calibri" w:hAnsi="Calibri"/>
                <w:color w:val="333333"/>
                <w:sz w:val="20"/>
              </w:rPr>
              <w:t>Usage Notes</w:t>
            </w:r>
          </w:p>
        </w:tc>
        <w:tc>
          <w:tcPr>
            <w:tcW w:type="dxa" w:w="7200"/>
            <w:shd w:fill="F5F7FA"/>
          </w:tcPr>
          <w:p>
            <w:r/>
            <w:r>
              <w:rPr>
                <w:rFonts w:ascii="Calibri" w:hAnsi="Calibri"/>
                <w:color w:val="333333"/>
                <w:sz w:val="20"/>
              </w:rPr>
              <w:t>The most common mistake is using ZipRecruiter as a real salary source. It is a JOB POSTING source. The actual hire salary is typically 10-15% above the posted range. Useful only for understanding what employers are advertising.</w:t>
            </w:r>
          </w:p>
        </w:tc>
      </w:tr>
    </w:tbl>
    <w:p/>
    <w:p>
      <w:pPr>
        <w:pStyle w:val="Heading2"/>
      </w:pPr>
      <w:r>
        <w:t>Talent.com (formerly Neuvoo)</w:t>
      </w:r>
    </w:p>
    <w:tbl>
      <w:tblPr>
        <w:tblStyle w:val="TableGrid"/>
        <w:tblW w:type="auto" w:w="0"/>
        <w:jc w:val="center"/>
        <w:tblLook w:firstColumn="1" w:firstRow="1" w:lastColumn="0" w:lastRow="0" w:noHBand="0" w:noVBand="1" w:val="04A0"/>
      </w:tblPr>
      <w:tblGrid>
        <w:gridCol w:w="4680"/>
        <w:gridCol w:w="4680"/>
      </w:tblGrid>
      <w:tr>
        <w:tc>
          <w:tcPr>
            <w:tcW w:type="dxa" w:w="2160"/>
            <w:shd w:fill="1A3A5C"/>
          </w:tcPr>
          <w:p>
            <w:pPr>
              <w:jc w:val="left"/>
            </w:pPr>
            <w:r/>
            <w:r>
              <w:rPr>
                <w:rFonts w:ascii="Calibri" w:hAnsi="Calibri"/>
                <w:b/>
                <w:color w:val="FFFFFF"/>
                <w:sz w:val="20"/>
              </w:rPr>
              <w:t>Attribute</w:t>
            </w:r>
          </w:p>
        </w:tc>
        <w:tc>
          <w:tcPr>
            <w:tcW w:type="dxa" w:w="7200"/>
            <w:shd w:fill="1A3A5C"/>
          </w:tcPr>
          <w:p>
            <w:pPr>
              <w:jc w:val="left"/>
            </w:pPr>
            <w:r/>
            <w:r>
              <w:rPr>
                <w:rFonts w:ascii="Calibri" w:hAnsi="Calibri"/>
                <w:b/>
                <w:color w:val="FFFFFF"/>
                <w:sz w:val="20"/>
              </w:rPr>
              <w:t>Detail</w:t>
            </w:r>
          </w:p>
        </w:tc>
      </w:tr>
      <w:tr>
        <w:tc>
          <w:tcPr>
            <w:tcW w:type="dxa" w:w="2160"/>
          </w:tcPr>
          <w:p>
            <w:r/>
            <w:r>
              <w:rPr>
                <w:rFonts w:ascii="Calibri" w:hAnsi="Calibri"/>
                <w:color w:val="333333"/>
                <w:sz w:val="20"/>
              </w:rPr>
              <w:t>URL</w:t>
            </w:r>
          </w:p>
        </w:tc>
        <w:tc>
          <w:tcPr>
            <w:tcW w:type="dxa" w:w="7200"/>
          </w:tcPr>
          <w:p>
            <w:r/>
            <w:r>
              <w:rPr>
                <w:rFonts w:ascii="Calibri" w:hAnsi="Calibri"/>
                <w:color w:val="333333"/>
                <w:sz w:val="20"/>
              </w:rPr>
              <w:t>https://www.talent.com/salary</w:t>
            </w:r>
          </w:p>
        </w:tc>
      </w:tr>
      <w:tr>
        <w:tc>
          <w:tcPr>
            <w:tcW w:type="dxa" w:w="2160"/>
            <w:shd w:fill="F5F7FA"/>
          </w:tcPr>
          <w:p>
            <w:r/>
            <w:r>
              <w:rPr>
                <w:rFonts w:ascii="Calibri" w:hAnsi="Calibri"/>
                <w:color w:val="333333"/>
                <w:sz w:val="20"/>
              </w:rPr>
              <w:t>Best For</w:t>
            </w:r>
          </w:p>
        </w:tc>
        <w:tc>
          <w:tcPr>
            <w:tcW w:type="dxa" w:w="7200"/>
            <w:shd w:fill="F5F7FA"/>
          </w:tcPr>
          <w:p>
            <w:r/>
            <w:r>
              <w:rPr>
                <w:rFonts w:ascii="Calibri" w:hAnsi="Calibri"/>
                <w:color w:val="333333"/>
                <w:sz w:val="20"/>
              </w:rPr>
              <w:t>Quick national averages; Canadian data coverage is better than many US-focused sources</w:t>
            </w:r>
          </w:p>
        </w:tc>
      </w:tr>
      <w:tr>
        <w:tc>
          <w:tcPr>
            <w:tcW w:type="dxa" w:w="2160"/>
          </w:tcPr>
          <w:p>
            <w:r/>
            <w:r>
              <w:rPr>
                <w:rFonts w:ascii="Calibri" w:hAnsi="Calibri"/>
                <w:color w:val="333333"/>
                <w:sz w:val="20"/>
              </w:rPr>
              <w:t>Worst For</w:t>
            </w:r>
          </w:p>
        </w:tc>
        <w:tc>
          <w:tcPr>
            <w:tcW w:type="dxa" w:w="7200"/>
          </w:tcPr>
          <w:p>
            <w:r/>
            <w:r>
              <w:rPr>
                <w:rFonts w:ascii="Calibri" w:hAnsi="Calibri"/>
                <w:color w:val="333333"/>
                <w:sz w:val="20"/>
              </w:rPr>
              <w:t>Geographic specificity -- most data is aggregated at the national level. Limited methodology transparency.</w:t>
            </w:r>
          </w:p>
        </w:tc>
      </w:tr>
      <w:tr>
        <w:tc>
          <w:tcPr>
            <w:tcW w:type="dxa" w:w="2160"/>
            <w:shd w:fill="F5F7FA"/>
          </w:tcPr>
          <w:p>
            <w:r/>
            <w:r>
              <w:rPr>
                <w:rFonts w:ascii="Calibri" w:hAnsi="Calibri"/>
                <w:color w:val="333333"/>
                <w:sz w:val="20"/>
              </w:rPr>
              <w:t>Bias Direction</w:t>
            </w:r>
          </w:p>
        </w:tc>
        <w:tc>
          <w:tcPr>
            <w:tcW w:type="dxa" w:w="7200"/>
            <w:shd w:fill="F5F7FA"/>
          </w:tcPr>
          <w:p>
            <w:r/>
            <w:r>
              <w:rPr>
                <w:rFonts w:ascii="Calibri" w:hAnsi="Calibri"/>
                <w:color w:val="333333"/>
                <w:sz w:val="20"/>
              </w:rPr>
              <w:t>Moderate. Aggregated from multiple sources with unclear weighting. Can run high or low depending on the role.</w:t>
            </w:r>
          </w:p>
        </w:tc>
      </w:tr>
      <w:tr>
        <w:tc>
          <w:tcPr>
            <w:tcW w:type="dxa" w:w="2160"/>
          </w:tcPr>
          <w:p>
            <w:r/>
            <w:r>
              <w:rPr>
                <w:rFonts w:ascii="Calibri" w:hAnsi="Calibri"/>
                <w:color w:val="333333"/>
                <w:sz w:val="20"/>
              </w:rPr>
              <w:t>Sample Size</w:t>
            </w:r>
          </w:p>
        </w:tc>
        <w:tc>
          <w:tcPr>
            <w:tcW w:type="dxa" w:w="7200"/>
          </w:tcPr>
          <w:p>
            <w:r/>
            <w:r>
              <w:rPr>
                <w:rFonts w:ascii="Calibri" w:hAnsi="Calibri"/>
                <w:color w:val="333333"/>
                <w:sz w:val="20"/>
              </w:rPr>
              <w:t>Medium. Aggregated job posting and submission data.</w:t>
            </w:r>
          </w:p>
        </w:tc>
      </w:tr>
      <w:tr>
        <w:tc>
          <w:tcPr>
            <w:tcW w:type="dxa" w:w="2160"/>
            <w:shd w:fill="F5F7FA"/>
          </w:tcPr>
          <w:p>
            <w:r/>
            <w:r>
              <w:rPr>
                <w:rFonts w:ascii="Calibri" w:hAnsi="Calibri"/>
                <w:color w:val="333333"/>
                <w:sz w:val="20"/>
              </w:rPr>
              <w:t>Geographic Coverage</w:t>
            </w:r>
          </w:p>
        </w:tc>
        <w:tc>
          <w:tcPr>
            <w:tcW w:type="dxa" w:w="7200"/>
            <w:shd w:fill="F5F7FA"/>
          </w:tcPr>
          <w:p>
            <w:r/>
            <w:r>
              <w:rPr>
                <w:rFonts w:ascii="Calibri" w:hAnsi="Calibri"/>
                <w:color w:val="333333"/>
                <w:sz w:val="20"/>
              </w:rPr>
              <w:t>Canada and US; national data is readily available but city/provincial breakdowns are limited</w:t>
            </w:r>
          </w:p>
        </w:tc>
      </w:tr>
      <w:tr>
        <w:tc>
          <w:tcPr>
            <w:tcW w:type="dxa" w:w="2160"/>
          </w:tcPr>
          <w:p>
            <w:r/>
            <w:r>
              <w:rPr>
                <w:rFonts w:ascii="Calibri" w:hAnsi="Calibri"/>
                <w:color w:val="333333"/>
                <w:sz w:val="20"/>
              </w:rPr>
              <w:t>Update Frequency</w:t>
            </w:r>
          </w:p>
        </w:tc>
        <w:tc>
          <w:tcPr>
            <w:tcW w:type="dxa" w:w="7200"/>
          </w:tcPr>
          <w:p>
            <w:r/>
            <w:r>
              <w:rPr>
                <w:rFonts w:ascii="Calibri" w:hAnsi="Calibri"/>
                <w:color w:val="333333"/>
                <w:sz w:val="20"/>
              </w:rPr>
              <w:t>Continuous</w:t>
            </w:r>
          </w:p>
        </w:tc>
      </w:tr>
      <w:tr>
        <w:tc>
          <w:tcPr>
            <w:tcW w:type="dxa" w:w="2160"/>
            <w:shd w:fill="F5F7FA"/>
          </w:tcPr>
          <w:p>
            <w:r/>
            <w:r>
              <w:rPr>
                <w:rFonts w:ascii="Calibri" w:hAnsi="Calibri"/>
                <w:color w:val="333333"/>
                <w:sz w:val="20"/>
              </w:rPr>
              <w:t>Usage Notes</w:t>
            </w:r>
          </w:p>
        </w:tc>
        <w:tc>
          <w:tcPr>
            <w:tcW w:type="dxa" w:w="7200"/>
            <w:shd w:fill="F5F7FA"/>
          </w:tcPr>
          <w:p>
            <w:r/>
            <w:r>
              <w:rPr>
                <w:rFonts w:ascii="Calibri" w:hAnsi="Calibri"/>
                <w:color w:val="333333"/>
                <w:sz w:val="20"/>
              </w:rPr>
              <w:t>Use as one data point among many. The lack of geographic specificity means national data can be misleading for non-major-metro roles. Best for confirming a broad range rather than pinpointing a number.</w:t>
            </w:r>
          </w:p>
        </w:tc>
      </w:tr>
    </w:tbl>
    <w:p/>
    <w:p>
      <w:pPr>
        <w:pStyle w:val="Heading2"/>
      </w:pPr>
      <w:r>
        <w:t>ERI SalaryExpert (Economic Research Institute)</w:t>
      </w:r>
    </w:p>
    <w:tbl>
      <w:tblPr>
        <w:tblStyle w:val="TableGrid"/>
        <w:tblW w:type="auto" w:w="0"/>
        <w:jc w:val="center"/>
        <w:tblLook w:firstColumn="1" w:firstRow="1" w:lastColumn="0" w:lastRow="0" w:noHBand="0" w:noVBand="1" w:val="04A0"/>
      </w:tblPr>
      <w:tblGrid>
        <w:gridCol w:w="4680"/>
        <w:gridCol w:w="4680"/>
      </w:tblGrid>
      <w:tr>
        <w:tc>
          <w:tcPr>
            <w:tcW w:type="dxa" w:w="2160"/>
            <w:shd w:fill="1A3A5C"/>
          </w:tcPr>
          <w:p>
            <w:pPr>
              <w:jc w:val="left"/>
            </w:pPr>
            <w:r/>
            <w:r>
              <w:rPr>
                <w:rFonts w:ascii="Calibri" w:hAnsi="Calibri"/>
                <w:b/>
                <w:color w:val="FFFFFF"/>
                <w:sz w:val="20"/>
              </w:rPr>
              <w:t>Attribute</w:t>
            </w:r>
          </w:p>
        </w:tc>
        <w:tc>
          <w:tcPr>
            <w:tcW w:type="dxa" w:w="7200"/>
            <w:shd w:fill="1A3A5C"/>
          </w:tcPr>
          <w:p>
            <w:pPr>
              <w:jc w:val="left"/>
            </w:pPr>
            <w:r/>
            <w:r>
              <w:rPr>
                <w:rFonts w:ascii="Calibri" w:hAnsi="Calibri"/>
                <w:b/>
                <w:color w:val="FFFFFF"/>
                <w:sz w:val="20"/>
              </w:rPr>
              <w:t>Detail</w:t>
            </w:r>
          </w:p>
        </w:tc>
      </w:tr>
      <w:tr>
        <w:tc>
          <w:tcPr>
            <w:tcW w:type="dxa" w:w="2160"/>
          </w:tcPr>
          <w:p>
            <w:r/>
            <w:r>
              <w:rPr>
                <w:rFonts w:ascii="Calibri" w:hAnsi="Calibri"/>
                <w:color w:val="333333"/>
                <w:sz w:val="20"/>
              </w:rPr>
              <w:t>URL</w:t>
            </w:r>
          </w:p>
        </w:tc>
        <w:tc>
          <w:tcPr>
            <w:tcW w:type="dxa" w:w="7200"/>
          </w:tcPr>
          <w:p>
            <w:r/>
            <w:r>
              <w:rPr>
                <w:rFonts w:ascii="Calibri" w:hAnsi="Calibri"/>
                <w:color w:val="333333"/>
                <w:sz w:val="20"/>
              </w:rPr>
              <w:t>https://www.salaryexpert.com/</w:t>
            </w:r>
          </w:p>
        </w:tc>
      </w:tr>
      <w:tr>
        <w:tc>
          <w:tcPr>
            <w:tcW w:type="dxa" w:w="2160"/>
            <w:shd w:fill="F5F7FA"/>
          </w:tcPr>
          <w:p>
            <w:r/>
            <w:r>
              <w:rPr>
                <w:rFonts w:ascii="Calibri" w:hAnsi="Calibri"/>
                <w:color w:val="333333"/>
                <w:sz w:val="20"/>
              </w:rPr>
              <w:t>Best For</w:t>
            </w:r>
          </w:p>
        </w:tc>
        <w:tc>
          <w:tcPr>
            <w:tcW w:type="dxa" w:w="7200"/>
            <w:shd w:fill="F5F7FA"/>
          </w:tcPr>
          <w:p>
            <w:r/>
            <w:r>
              <w:rPr>
                <w:rFonts w:ascii="Calibri" w:hAnsi="Calibri"/>
                <w:color w:val="333333"/>
                <w:sz w:val="20"/>
              </w:rPr>
              <w:t>International salary comparisons; cost-of-living adjustments; when you need data for unusual geographies</w:t>
            </w:r>
          </w:p>
        </w:tc>
      </w:tr>
      <w:tr>
        <w:tc>
          <w:tcPr>
            <w:tcW w:type="dxa" w:w="2160"/>
          </w:tcPr>
          <w:p>
            <w:r/>
            <w:r>
              <w:rPr>
                <w:rFonts w:ascii="Calibri" w:hAnsi="Calibri"/>
                <w:color w:val="333333"/>
                <w:sz w:val="20"/>
              </w:rPr>
              <w:t>Worst For</w:t>
            </w:r>
          </w:p>
        </w:tc>
        <w:tc>
          <w:tcPr>
            <w:tcW w:type="dxa" w:w="7200"/>
          </w:tcPr>
          <w:p>
            <w:r/>
            <w:r>
              <w:rPr>
                <w:rFonts w:ascii="Calibri" w:hAnsi="Calibri"/>
                <w:color w:val="333333"/>
                <w:sz w:val="20"/>
              </w:rPr>
              <w:t>Domestic (US/Canada) benchmarking where better sources exist. Data is modeled/predicted, not empirical. Often produces numbers that are 10-20% above actual market.</w:t>
            </w:r>
          </w:p>
        </w:tc>
      </w:tr>
      <w:tr>
        <w:tc>
          <w:tcPr>
            <w:tcW w:type="dxa" w:w="2160"/>
            <w:shd w:fill="F5F7FA"/>
          </w:tcPr>
          <w:p>
            <w:r/>
            <w:r>
              <w:rPr>
                <w:rFonts w:ascii="Calibri" w:hAnsi="Calibri"/>
                <w:color w:val="333333"/>
                <w:sz w:val="20"/>
              </w:rPr>
              <w:t>Bias Direction</w:t>
            </w:r>
          </w:p>
        </w:tc>
        <w:tc>
          <w:tcPr>
            <w:tcW w:type="dxa" w:w="7200"/>
            <w:shd w:fill="F5F7FA"/>
          </w:tcPr>
          <w:p>
            <w:r/>
            <w:r>
              <w:rPr>
                <w:rFonts w:ascii="Calibri" w:hAnsi="Calibri"/>
                <w:color w:val="333333"/>
                <w:sz w:val="20"/>
              </w:rPr>
              <w:t>Consistently runs HIGH (10-20%). Modeled data based on economic indicators, not actual salary surveys. Numbers should be treated as ceiling estimates.</w:t>
            </w:r>
          </w:p>
        </w:tc>
      </w:tr>
      <w:tr>
        <w:tc>
          <w:tcPr>
            <w:tcW w:type="dxa" w:w="2160"/>
          </w:tcPr>
          <w:p>
            <w:r/>
            <w:r>
              <w:rPr>
                <w:rFonts w:ascii="Calibri" w:hAnsi="Calibri"/>
                <w:color w:val="333333"/>
                <w:sz w:val="20"/>
              </w:rPr>
              <w:t>Sample Size</w:t>
            </w:r>
          </w:p>
        </w:tc>
        <w:tc>
          <w:tcPr>
            <w:tcW w:type="dxa" w:w="7200"/>
          </w:tcPr>
          <w:p>
            <w:r/>
            <w:r>
              <w:rPr>
                <w:rFonts w:ascii="Calibri" w:hAnsi="Calibri"/>
                <w:color w:val="333333"/>
                <w:sz w:val="20"/>
              </w:rPr>
              <w:t>N/A -- modeled, not survey-based.</w:t>
            </w:r>
          </w:p>
        </w:tc>
      </w:tr>
      <w:tr>
        <w:tc>
          <w:tcPr>
            <w:tcW w:type="dxa" w:w="2160"/>
            <w:shd w:fill="F5F7FA"/>
          </w:tcPr>
          <w:p>
            <w:r/>
            <w:r>
              <w:rPr>
                <w:rFonts w:ascii="Calibri" w:hAnsi="Calibri"/>
                <w:color w:val="333333"/>
                <w:sz w:val="20"/>
              </w:rPr>
              <w:t>Geographic Coverage</w:t>
            </w:r>
          </w:p>
        </w:tc>
        <w:tc>
          <w:tcPr>
            <w:tcW w:type="dxa" w:w="7200"/>
            <w:shd w:fill="F5F7FA"/>
          </w:tcPr>
          <w:p>
            <w:r/>
            <w:r>
              <w:rPr>
                <w:rFonts w:ascii="Calibri" w:hAnsi="Calibri"/>
                <w:color w:val="333333"/>
                <w:sz w:val="20"/>
              </w:rPr>
              <w:t>Global coverage (this is its strength for international comparisons)</w:t>
            </w:r>
          </w:p>
        </w:tc>
      </w:tr>
      <w:tr>
        <w:tc>
          <w:tcPr>
            <w:tcW w:type="dxa" w:w="2160"/>
          </w:tcPr>
          <w:p>
            <w:r/>
            <w:r>
              <w:rPr>
                <w:rFonts w:ascii="Calibri" w:hAnsi="Calibri"/>
                <w:color w:val="333333"/>
                <w:sz w:val="20"/>
              </w:rPr>
              <w:t>Update Frequency</w:t>
            </w:r>
          </w:p>
        </w:tc>
        <w:tc>
          <w:tcPr>
            <w:tcW w:type="dxa" w:w="7200"/>
          </w:tcPr>
          <w:p>
            <w:r/>
            <w:r>
              <w:rPr>
                <w:rFonts w:ascii="Calibri" w:hAnsi="Calibri"/>
                <w:color w:val="333333"/>
                <w:sz w:val="20"/>
              </w:rPr>
              <w:t>Periodic model updates</w:t>
            </w:r>
          </w:p>
        </w:tc>
      </w:tr>
      <w:tr>
        <w:tc>
          <w:tcPr>
            <w:tcW w:type="dxa" w:w="2160"/>
            <w:shd w:fill="F5F7FA"/>
          </w:tcPr>
          <w:p>
            <w:r/>
            <w:r>
              <w:rPr>
                <w:rFonts w:ascii="Calibri" w:hAnsi="Calibri"/>
                <w:color w:val="333333"/>
                <w:sz w:val="20"/>
              </w:rPr>
              <w:t>Usage Notes</w:t>
            </w:r>
          </w:p>
        </w:tc>
        <w:tc>
          <w:tcPr>
            <w:tcW w:type="dxa" w:w="7200"/>
            <w:shd w:fill="F5F7FA"/>
          </w:tcPr>
          <w:p>
            <w:r/>
            <w:r>
              <w:rPr>
                <w:rFonts w:ascii="Calibri" w:hAnsi="Calibri"/>
                <w:color w:val="333333"/>
                <w:sz w:val="20"/>
              </w:rPr>
              <w:t>Do not use as a primary source for US or Canadian benchmarking. The modeled numbers are consistently above market. Useful only for international roles where no other data exists, and even then, flag the limitation clearly.</w:t>
            </w:r>
          </w:p>
        </w:tc>
      </w:tr>
    </w:tbl>
    <w:p/>
    <w:p>
      <w:pPr>
        <w:pStyle w:val="Heading1"/>
      </w:pPr>
      <w:r>
        <w:t>Special / Industry-Specific Sources</w:t>
      </w:r>
    </w:p>
    <w:p>
      <w:r>
        <w:t>These sources are excellent for their specific domains but are not general-purpose salary databases. Use them when benchmarking roles in their specific industries.</w:t>
      </w:r>
    </w:p>
    <w:p>
      <w:pPr>
        <w:pStyle w:val="Heading2"/>
      </w:pPr>
      <w:r>
        <w:t>Red Seal Recruiting (Trades-Specific)</w:t>
      </w:r>
    </w:p>
    <w:tbl>
      <w:tblPr>
        <w:tblStyle w:val="TableGrid"/>
        <w:tblW w:type="auto" w:w="0"/>
        <w:jc w:val="center"/>
        <w:tblLook w:firstColumn="1" w:firstRow="1" w:lastColumn="0" w:lastRow="0" w:noHBand="0" w:noVBand="1" w:val="04A0"/>
      </w:tblPr>
      <w:tblGrid>
        <w:gridCol w:w="4680"/>
        <w:gridCol w:w="4680"/>
      </w:tblGrid>
      <w:tr>
        <w:tc>
          <w:tcPr>
            <w:tcW w:type="dxa" w:w="2160"/>
            <w:shd w:fill="1A3A5C"/>
          </w:tcPr>
          <w:p>
            <w:pPr>
              <w:jc w:val="left"/>
            </w:pPr>
            <w:r/>
            <w:r>
              <w:rPr>
                <w:rFonts w:ascii="Calibri" w:hAnsi="Calibri"/>
                <w:b/>
                <w:color w:val="FFFFFF"/>
                <w:sz w:val="20"/>
              </w:rPr>
              <w:t>Attribute</w:t>
            </w:r>
          </w:p>
        </w:tc>
        <w:tc>
          <w:tcPr>
            <w:tcW w:type="dxa" w:w="7200"/>
            <w:shd w:fill="1A3A5C"/>
          </w:tcPr>
          <w:p>
            <w:pPr>
              <w:jc w:val="left"/>
            </w:pPr>
            <w:r/>
            <w:r>
              <w:rPr>
                <w:rFonts w:ascii="Calibri" w:hAnsi="Calibri"/>
                <w:b/>
                <w:color w:val="FFFFFF"/>
                <w:sz w:val="20"/>
              </w:rPr>
              <w:t>Detail</w:t>
            </w:r>
          </w:p>
        </w:tc>
      </w:tr>
      <w:tr>
        <w:tc>
          <w:tcPr>
            <w:tcW w:type="dxa" w:w="2160"/>
          </w:tcPr>
          <w:p>
            <w:r/>
            <w:r>
              <w:rPr>
                <w:rFonts w:ascii="Calibri" w:hAnsi="Calibri"/>
                <w:color w:val="333333"/>
                <w:sz w:val="20"/>
              </w:rPr>
              <w:t>URL</w:t>
            </w:r>
          </w:p>
        </w:tc>
        <w:tc>
          <w:tcPr>
            <w:tcW w:type="dxa" w:w="7200"/>
          </w:tcPr>
          <w:p>
            <w:r/>
            <w:r>
              <w:rPr>
                <w:rFonts w:ascii="Calibri" w:hAnsi="Calibri"/>
                <w:color w:val="333333"/>
                <w:sz w:val="20"/>
              </w:rPr>
              <w:t>https://redsealrecruiting.com/salary-data/</w:t>
            </w:r>
          </w:p>
        </w:tc>
      </w:tr>
      <w:tr>
        <w:tc>
          <w:tcPr>
            <w:tcW w:type="dxa" w:w="2160"/>
            <w:shd w:fill="F5F7FA"/>
          </w:tcPr>
          <w:p>
            <w:r/>
            <w:r>
              <w:rPr>
                <w:rFonts w:ascii="Calibri" w:hAnsi="Calibri"/>
                <w:color w:val="333333"/>
                <w:sz w:val="20"/>
              </w:rPr>
              <w:t>Best For</w:t>
            </w:r>
          </w:p>
        </w:tc>
        <w:tc>
          <w:tcPr>
            <w:tcW w:type="dxa" w:w="7200"/>
            <w:shd w:fill="F5F7FA"/>
          </w:tcPr>
          <w:p>
            <w:r/>
            <w:r>
              <w:rPr>
                <w:rFonts w:ascii="Calibri" w:hAnsi="Calibri"/>
                <w:color w:val="333333"/>
                <w:sz w:val="20"/>
              </w:rPr>
              <w:t>Skilled trades roles in Canada (electricians, plumbers, HVAC, millwrights, welders, etc.); verified submission data from actual trades professionals</w:t>
            </w:r>
          </w:p>
        </w:tc>
      </w:tr>
      <w:tr>
        <w:tc>
          <w:tcPr>
            <w:tcW w:type="dxa" w:w="2160"/>
          </w:tcPr>
          <w:p>
            <w:r/>
            <w:r>
              <w:rPr>
                <w:rFonts w:ascii="Calibri" w:hAnsi="Calibri"/>
                <w:color w:val="333333"/>
                <w:sz w:val="20"/>
              </w:rPr>
              <w:t>Worst For</w:t>
            </w:r>
          </w:p>
        </w:tc>
        <w:tc>
          <w:tcPr>
            <w:tcW w:type="dxa" w:w="7200"/>
          </w:tcPr>
          <w:p>
            <w:r/>
            <w:r>
              <w:rPr>
                <w:rFonts w:ascii="Calibri" w:hAnsi="Calibri"/>
                <w:color w:val="333333"/>
                <w:sz w:val="20"/>
              </w:rPr>
              <w:t>Non-trades roles; US-specific data</w:t>
            </w:r>
          </w:p>
        </w:tc>
      </w:tr>
      <w:tr>
        <w:tc>
          <w:tcPr>
            <w:tcW w:type="dxa" w:w="2160"/>
            <w:shd w:fill="F5F7FA"/>
          </w:tcPr>
          <w:p>
            <w:r/>
            <w:r>
              <w:rPr>
                <w:rFonts w:ascii="Calibri" w:hAnsi="Calibri"/>
                <w:color w:val="333333"/>
                <w:sz w:val="20"/>
              </w:rPr>
              <w:t>Bias Direction</w:t>
            </w:r>
          </w:p>
        </w:tc>
        <w:tc>
          <w:tcPr>
            <w:tcW w:type="dxa" w:w="7200"/>
            <w:shd w:fill="F5F7FA"/>
          </w:tcPr>
          <w:p>
            <w:r/>
            <w:r>
              <w:rPr>
                <w:rFonts w:ascii="Calibri" w:hAnsi="Calibri"/>
                <w:color w:val="333333"/>
                <w:sz w:val="20"/>
              </w:rPr>
              <w:t>Relatively unbiased for trades. Data is submitted by trades professionals and verified. Slight upward bias as respondents tend to be employed (selection bias).</w:t>
            </w:r>
          </w:p>
        </w:tc>
      </w:tr>
      <w:tr>
        <w:tc>
          <w:tcPr>
            <w:tcW w:type="dxa" w:w="2160"/>
          </w:tcPr>
          <w:p>
            <w:r/>
            <w:r>
              <w:rPr>
                <w:rFonts w:ascii="Calibri" w:hAnsi="Calibri"/>
                <w:color w:val="333333"/>
                <w:sz w:val="20"/>
              </w:rPr>
              <w:t>Sample Size</w:t>
            </w:r>
          </w:p>
        </w:tc>
        <w:tc>
          <w:tcPr>
            <w:tcW w:type="dxa" w:w="7200"/>
          </w:tcPr>
          <w:p>
            <w:r/>
            <w:r>
              <w:rPr>
                <w:rFonts w:ascii="Calibri" w:hAnsi="Calibri"/>
                <w:color w:val="333333"/>
                <w:sz w:val="20"/>
              </w:rPr>
              <w:t>Small-medium but highly relevant for the trades sector.</w:t>
            </w:r>
          </w:p>
        </w:tc>
      </w:tr>
      <w:tr>
        <w:tc>
          <w:tcPr>
            <w:tcW w:type="dxa" w:w="2160"/>
            <w:shd w:fill="F5F7FA"/>
          </w:tcPr>
          <w:p>
            <w:r/>
            <w:r>
              <w:rPr>
                <w:rFonts w:ascii="Calibri" w:hAnsi="Calibri"/>
                <w:color w:val="333333"/>
                <w:sz w:val="20"/>
              </w:rPr>
              <w:t>Geographic Coverage</w:t>
            </w:r>
          </w:p>
        </w:tc>
        <w:tc>
          <w:tcPr>
            <w:tcW w:type="dxa" w:w="7200"/>
            <w:shd w:fill="F5F7FA"/>
          </w:tcPr>
          <w:p>
            <w:r/>
            <w:r>
              <w:rPr>
                <w:rFonts w:ascii="Calibri" w:hAnsi="Calibri"/>
                <w:color w:val="333333"/>
                <w:sz w:val="20"/>
              </w:rPr>
              <w:t>Canada (provincial breakdowns available for major provinces)</w:t>
            </w:r>
          </w:p>
        </w:tc>
      </w:tr>
      <w:tr>
        <w:tc>
          <w:tcPr>
            <w:tcW w:type="dxa" w:w="2160"/>
          </w:tcPr>
          <w:p>
            <w:r/>
            <w:r>
              <w:rPr>
                <w:rFonts w:ascii="Calibri" w:hAnsi="Calibri"/>
                <w:color w:val="333333"/>
                <w:sz w:val="20"/>
              </w:rPr>
              <w:t>Usage Notes</w:t>
            </w:r>
          </w:p>
        </w:tc>
        <w:tc>
          <w:tcPr>
            <w:tcW w:type="dxa" w:w="7200"/>
          </w:tcPr>
          <w:p>
            <w:r/>
            <w:r>
              <w:rPr>
                <w:rFonts w:ascii="Calibri" w:hAnsi="Calibri"/>
                <w:color w:val="333333"/>
                <w:sz w:val="20"/>
              </w:rPr>
              <w:t>The best publicly available source for Canadian trades compensation. Essential for any benchmarking involving skilled trades. Include Red Seal certification premium analysis when using this source.</w:t>
            </w:r>
          </w:p>
        </w:tc>
      </w:tr>
    </w:tbl>
    <w:p/>
    <w:p>
      <w:pPr>
        <w:pStyle w:val="Heading2"/>
      </w:pPr>
      <w:r>
        <w:t>NAHMA / Pearl Meyer (Affordable Housing)</w:t>
      </w:r>
    </w:p>
    <w:tbl>
      <w:tblPr>
        <w:tblStyle w:val="TableGrid"/>
        <w:tblW w:type="auto" w:w="0"/>
        <w:jc w:val="center"/>
        <w:tblLook w:firstColumn="1" w:firstRow="1" w:lastColumn="0" w:lastRow="0" w:noHBand="0" w:noVBand="1" w:val="04A0"/>
      </w:tblPr>
      <w:tblGrid>
        <w:gridCol w:w="4680"/>
        <w:gridCol w:w="4680"/>
      </w:tblGrid>
      <w:tr>
        <w:tc>
          <w:tcPr>
            <w:tcW w:type="dxa" w:w="2160"/>
            <w:shd w:fill="1A3A5C"/>
          </w:tcPr>
          <w:p>
            <w:pPr>
              <w:jc w:val="left"/>
            </w:pPr>
            <w:r/>
            <w:r>
              <w:rPr>
                <w:rFonts w:ascii="Calibri" w:hAnsi="Calibri"/>
                <w:b/>
                <w:color w:val="FFFFFF"/>
                <w:sz w:val="20"/>
              </w:rPr>
              <w:t>Attribute</w:t>
            </w:r>
          </w:p>
        </w:tc>
        <w:tc>
          <w:tcPr>
            <w:tcW w:type="dxa" w:w="7200"/>
            <w:shd w:fill="1A3A5C"/>
          </w:tcPr>
          <w:p>
            <w:pPr>
              <w:jc w:val="left"/>
            </w:pPr>
            <w:r/>
            <w:r>
              <w:rPr>
                <w:rFonts w:ascii="Calibri" w:hAnsi="Calibri"/>
                <w:b/>
                <w:color w:val="FFFFFF"/>
                <w:sz w:val="20"/>
              </w:rPr>
              <w:t>Detail</w:t>
            </w:r>
          </w:p>
        </w:tc>
      </w:tr>
      <w:tr>
        <w:tc>
          <w:tcPr>
            <w:tcW w:type="dxa" w:w="2160"/>
          </w:tcPr>
          <w:p>
            <w:r/>
            <w:r>
              <w:rPr>
                <w:rFonts w:ascii="Calibri" w:hAnsi="Calibri"/>
                <w:color w:val="333333"/>
                <w:sz w:val="20"/>
              </w:rPr>
              <w:t>URL</w:t>
            </w:r>
          </w:p>
        </w:tc>
        <w:tc>
          <w:tcPr>
            <w:tcW w:type="dxa" w:w="7200"/>
          </w:tcPr>
          <w:p>
            <w:r/>
            <w:r>
              <w:rPr>
                <w:rFonts w:ascii="Calibri" w:hAnsi="Calibri"/>
                <w:color w:val="333333"/>
                <w:sz w:val="20"/>
              </w:rPr>
              <w:t>https://www.nahma.org/ (industry association) | Pearl Meyer survey available via membership</w:t>
            </w:r>
          </w:p>
        </w:tc>
      </w:tr>
      <w:tr>
        <w:tc>
          <w:tcPr>
            <w:tcW w:type="dxa" w:w="2160"/>
            <w:shd w:fill="F5F7FA"/>
          </w:tcPr>
          <w:p>
            <w:r/>
            <w:r>
              <w:rPr>
                <w:rFonts w:ascii="Calibri" w:hAnsi="Calibri"/>
                <w:color w:val="333333"/>
                <w:sz w:val="20"/>
              </w:rPr>
              <w:t>Best For</w:t>
            </w:r>
          </w:p>
        </w:tc>
        <w:tc>
          <w:tcPr>
            <w:tcW w:type="dxa" w:w="7200"/>
            <w:shd w:fill="F5F7FA"/>
          </w:tcPr>
          <w:p>
            <w:r/>
            <w:r>
              <w:rPr>
                <w:rFonts w:ascii="Calibri" w:hAnsi="Calibri"/>
                <w:color w:val="333333"/>
                <w:sz w:val="20"/>
              </w:rPr>
              <w:t>Property management and affordable housing roles (property managers, compliance specialists, maintenance supervisors in LIHTC, HUD, Section 8 properties)</w:t>
            </w:r>
          </w:p>
        </w:tc>
      </w:tr>
      <w:tr>
        <w:tc>
          <w:tcPr>
            <w:tcW w:type="dxa" w:w="2160"/>
          </w:tcPr>
          <w:p>
            <w:r/>
            <w:r>
              <w:rPr>
                <w:rFonts w:ascii="Calibri" w:hAnsi="Calibri"/>
                <w:color w:val="333333"/>
                <w:sz w:val="20"/>
              </w:rPr>
              <w:t>Worst For</w:t>
            </w:r>
          </w:p>
        </w:tc>
        <w:tc>
          <w:tcPr>
            <w:tcW w:type="dxa" w:w="7200"/>
          </w:tcPr>
          <w:p>
            <w:r/>
            <w:r>
              <w:rPr>
                <w:rFonts w:ascii="Calibri" w:hAnsi="Calibri"/>
                <w:color w:val="333333"/>
                <w:sz w:val="20"/>
              </w:rPr>
              <w:t>Non-housing roles; roles outside the affordable housing niche</w:t>
            </w:r>
          </w:p>
        </w:tc>
      </w:tr>
      <w:tr>
        <w:tc>
          <w:tcPr>
            <w:tcW w:type="dxa" w:w="2160"/>
            <w:shd w:fill="F5F7FA"/>
          </w:tcPr>
          <w:p>
            <w:r/>
            <w:r>
              <w:rPr>
                <w:rFonts w:ascii="Calibri" w:hAnsi="Calibri"/>
                <w:color w:val="333333"/>
                <w:sz w:val="20"/>
              </w:rPr>
              <w:t>Bias Direction</w:t>
            </w:r>
          </w:p>
        </w:tc>
        <w:tc>
          <w:tcPr>
            <w:tcW w:type="dxa" w:w="7200"/>
            <w:shd w:fill="F5F7FA"/>
          </w:tcPr>
          <w:p>
            <w:r/>
            <w:r>
              <w:rPr>
                <w:rFonts w:ascii="Calibri" w:hAnsi="Calibri"/>
                <w:color w:val="333333"/>
                <w:sz w:val="20"/>
              </w:rPr>
              <w:t>Highly accurate for the specific niche. Paid survey data from actual employers in the sector.</w:t>
            </w:r>
          </w:p>
        </w:tc>
      </w:tr>
      <w:tr>
        <w:tc>
          <w:tcPr>
            <w:tcW w:type="dxa" w:w="2160"/>
          </w:tcPr>
          <w:p>
            <w:r/>
            <w:r>
              <w:rPr>
                <w:rFonts w:ascii="Calibri" w:hAnsi="Calibri"/>
                <w:color w:val="333333"/>
                <w:sz w:val="20"/>
              </w:rPr>
              <w:t>Sample Size</w:t>
            </w:r>
          </w:p>
        </w:tc>
        <w:tc>
          <w:tcPr>
            <w:tcW w:type="dxa" w:w="7200"/>
          </w:tcPr>
          <w:p>
            <w:r/>
            <w:r>
              <w:rPr>
                <w:rFonts w:ascii="Calibri" w:hAnsi="Calibri"/>
                <w:color w:val="333333"/>
                <w:sz w:val="20"/>
              </w:rPr>
              <w:t>Small-medium (industry-specific participant pool), but depth compensates for breadth.</w:t>
            </w:r>
          </w:p>
        </w:tc>
      </w:tr>
      <w:tr>
        <w:tc>
          <w:tcPr>
            <w:tcW w:type="dxa" w:w="2160"/>
            <w:shd w:fill="F5F7FA"/>
          </w:tcPr>
          <w:p>
            <w:r/>
            <w:r>
              <w:rPr>
                <w:rFonts w:ascii="Calibri" w:hAnsi="Calibri"/>
                <w:color w:val="333333"/>
                <w:sz w:val="20"/>
              </w:rPr>
              <w:t>Geographic Coverage</w:t>
            </w:r>
          </w:p>
        </w:tc>
        <w:tc>
          <w:tcPr>
            <w:tcW w:type="dxa" w:w="7200"/>
            <w:shd w:fill="F5F7FA"/>
          </w:tcPr>
          <w:p>
            <w:r/>
            <w:r>
              <w:rPr>
                <w:rFonts w:ascii="Calibri" w:hAnsi="Calibri"/>
                <w:color w:val="333333"/>
                <w:sz w:val="20"/>
              </w:rPr>
              <w:t>US (some Canadian data available through equivalent associations)</w:t>
            </w:r>
          </w:p>
        </w:tc>
      </w:tr>
      <w:tr>
        <w:tc>
          <w:tcPr>
            <w:tcW w:type="dxa" w:w="2160"/>
          </w:tcPr>
          <w:p>
            <w:r/>
            <w:r>
              <w:rPr>
                <w:rFonts w:ascii="Calibri" w:hAnsi="Calibri"/>
                <w:color w:val="333333"/>
                <w:sz w:val="20"/>
              </w:rPr>
              <w:t>Usage Notes</w:t>
            </w:r>
          </w:p>
        </w:tc>
        <w:tc>
          <w:tcPr>
            <w:tcW w:type="dxa" w:w="7200"/>
          </w:tcPr>
          <w:p>
            <w:r/>
            <w:r>
              <w:rPr>
                <w:rFonts w:ascii="Calibri" w:hAnsi="Calibri"/>
                <w:color w:val="333333"/>
                <w:sz w:val="20"/>
              </w:rPr>
              <w:t>Gold standard for affordable housing compensation. If benchmarking any role in this sector, this is the first place to look. Paid access typically requires NAHMA membership or survey participation.</w:t>
            </w:r>
          </w:p>
        </w:tc>
      </w:tr>
    </w:tbl>
    <w:p/>
    <w:p>
      <w:pPr>
        <w:pStyle w:val="Heading2"/>
      </w:pPr>
      <w:r>
        <w:t>Paid Compensation Surveys (Mercer, Radford, Culpepper, WTW)</w:t>
      </w:r>
    </w:p>
    <w:tbl>
      <w:tblPr>
        <w:tblStyle w:val="TableGrid"/>
        <w:tblW w:type="auto" w:w="0"/>
        <w:jc w:val="center"/>
        <w:tblLook w:firstColumn="1" w:firstRow="1" w:lastColumn="0" w:lastRow="0" w:noHBand="0" w:noVBand="1" w:val="04A0"/>
      </w:tblPr>
      <w:tblGrid>
        <w:gridCol w:w="4680"/>
        <w:gridCol w:w="4680"/>
      </w:tblGrid>
      <w:tr>
        <w:tc>
          <w:tcPr>
            <w:tcW w:type="dxa" w:w="2160"/>
            <w:shd w:fill="1A3A5C"/>
          </w:tcPr>
          <w:p>
            <w:pPr>
              <w:jc w:val="left"/>
            </w:pPr>
            <w:r/>
            <w:r>
              <w:rPr>
                <w:rFonts w:ascii="Calibri" w:hAnsi="Calibri"/>
                <w:b/>
                <w:color w:val="FFFFFF"/>
                <w:sz w:val="20"/>
              </w:rPr>
              <w:t>Attribute</w:t>
            </w:r>
          </w:p>
        </w:tc>
        <w:tc>
          <w:tcPr>
            <w:tcW w:type="dxa" w:w="7200"/>
            <w:shd w:fill="1A3A5C"/>
          </w:tcPr>
          <w:p>
            <w:pPr>
              <w:jc w:val="left"/>
            </w:pPr>
            <w:r/>
            <w:r>
              <w:rPr>
                <w:rFonts w:ascii="Calibri" w:hAnsi="Calibri"/>
                <w:b/>
                <w:color w:val="FFFFFF"/>
                <w:sz w:val="20"/>
              </w:rPr>
              <w:t>Detail</w:t>
            </w:r>
          </w:p>
        </w:tc>
      </w:tr>
      <w:tr>
        <w:tc>
          <w:tcPr>
            <w:tcW w:type="dxa" w:w="2160"/>
          </w:tcPr>
          <w:p>
            <w:r/>
            <w:r>
              <w:rPr>
                <w:rFonts w:ascii="Calibri" w:hAnsi="Calibri"/>
                <w:color w:val="333333"/>
                <w:sz w:val="20"/>
              </w:rPr>
              <w:t>URL</w:t>
            </w:r>
          </w:p>
        </w:tc>
        <w:tc>
          <w:tcPr>
            <w:tcW w:type="dxa" w:w="7200"/>
          </w:tcPr>
          <w:p>
            <w:r/>
            <w:r>
              <w:rPr>
                <w:rFonts w:ascii="Calibri" w:hAnsi="Calibri"/>
                <w:color w:val="333333"/>
                <w:sz w:val="20"/>
              </w:rPr>
              <w:t>Various (requires paid subscription or survey participation)</w:t>
            </w:r>
          </w:p>
        </w:tc>
      </w:tr>
      <w:tr>
        <w:tc>
          <w:tcPr>
            <w:tcW w:type="dxa" w:w="2160"/>
            <w:shd w:fill="F5F7FA"/>
          </w:tcPr>
          <w:p>
            <w:r/>
            <w:r>
              <w:rPr>
                <w:rFonts w:ascii="Calibri" w:hAnsi="Calibri"/>
                <w:color w:val="333333"/>
                <w:sz w:val="20"/>
              </w:rPr>
              <w:t>Best For</w:t>
            </w:r>
          </w:p>
        </w:tc>
        <w:tc>
          <w:tcPr>
            <w:tcW w:type="dxa" w:w="7200"/>
            <w:shd w:fill="F5F7FA"/>
          </w:tcPr>
          <w:p>
            <w:r/>
            <w:r>
              <w:rPr>
                <w:rFonts w:ascii="Calibri" w:hAnsi="Calibri"/>
                <w:color w:val="333333"/>
                <w:sz w:val="20"/>
              </w:rPr>
              <w:t>Company-wide compensation frameworks; executive compensation; pay equity analysis; investor-grade decisions; roles with thin public data</w:t>
            </w:r>
          </w:p>
        </w:tc>
      </w:tr>
      <w:tr>
        <w:tc>
          <w:tcPr>
            <w:tcW w:type="dxa" w:w="2160"/>
          </w:tcPr>
          <w:p>
            <w:r/>
            <w:r>
              <w:rPr>
                <w:rFonts w:ascii="Calibri" w:hAnsi="Calibri"/>
                <w:color w:val="333333"/>
                <w:sz w:val="20"/>
              </w:rPr>
              <w:t>Worst For</w:t>
            </w:r>
          </w:p>
        </w:tc>
        <w:tc>
          <w:tcPr>
            <w:tcW w:type="dxa" w:w="7200"/>
          </w:tcPr>
          <w:p>
            <w:r/>
            <w:r>
              <w:rPr>
                <w:rFonts w:ascii="Calibri" w:hAnsi="Calibri"/>
                <w:color w:val="333333"/>
                <w:sz w:val="20"/>
              </w:rPr>
              <w:t>One-off benchmarking where public data is adequate; small companies without budget for surveys</w:t>
            </w:r>
          </w:p>
        </w:tc>
      </w:tr>
      <w:tr>
        <w:tc>
          <w:tcPr>
            <w:tcW w:type="dxa" w:w="2160"/>
            <w:shd w:fill="F5F7FA"/>
          </w:tcPr>
          <w:p>
            <w:r/>
            <w:r>
              <w:rPr>
                <w:rFonts w:ascii="Calibri" w:hAnsi="Calibri"/>
                <w:color w:val="333333"/>
                <w:sz w:val="20"/>
              </w:rPr>
              <w:t>Bias Direction</w:t>
            </w:r>
          </w:p>
        </w:tc>
        <w:tc>
          <w:tcPr>
            <w:tcW w:type="dxa" w:w="7200"/>
            <w:shd w:fill="F5F7FA"/>
          </w:tcPr>
          <w:p>
            <w:r/>
            <w:r>
              <w:rPr>
                <w:rFonts w:ascii="Calibri" w:hAnsi="Calibri"/>
                <w:color w:val="333333"/>
                <w:sz w:val="20"/>
              </w:rPr>
              <w:t>Lowest bias of any source type. Employer-reported, HR-verified, methodologically rigorous.</w:t>
            </w:r>
          </w:p>
        </w:tc>
      </w:tr>
      <w:tr>
        <w:tc>
          <w:tcPr>
            <w:tcW w:type="dxa" w:w="2160"/>
          </w:tcPr>
          <w:p>
            <w:r/>
            <w:r>
              <w:rPr>
                <w:rFonts w:ascii="Calibri" w:hAnsi="Calibri"/>
                <w:color w:val="333333"/>
                <w:sz w:val="20"/>
              </w:rPr>
              <w:t>Sample Size</w:t>
            </w:r>
          </w:p>
        </w:tc>
        <w:tc>
          <w:tcPr>
            <w:tcW w:type="dxa" w:w="7200"/>
          </w:tcPr>
          <w:p>
            <w:r/>
            <w:r>
              <w:rPr>
                <w:rFonts w:ascii="Calibri" w:hAnsi="Calibri"/>
                <w:color w:val="333333"/>
                <w:sz w:val="20"/>
              </w:rPr>
              <w:t>Large and industry-segmented. Participants provide actual pay data for their employees.</w:t>
            </w:r>
          </w:p>
        </w:tc>
      </w:tr>
      <w:tr>
        <w:tc>
          <w:tcPr>
            <w:tcW w:type="dxa" w:w="2160"/>
            <w:shd w:fill="F5F7FA"/>
          </w:tcPr>
          <w:p>
            <w:r/>
            <w:r>
              <w:rPr>
                <w:rFonts w:ascii="Calibri" w:hAnsi="Calibri"/>
                <w:color w:val="333333"/>
                <w:sz w:val="20"/>
              </w:rPr>
              <w:t>Geographic Coverage</w:t>
            </w:r>
          </w:p>
        </w:tc>
        <w:tc>
          <w:tcPr>
            <w:tcW w:type="dxa" w:w="7200"/>
            <w:shd w:fill="F5F7FA"/>
          </w:tcPr>
          <w:p>
            <w:r/>
            <w:r>
              <w:rPr>
                <w:rFonts w:ascii="Calibri" w:hAnsi="Calibri"/>
                <w:color w:val="333333"/>
                <w:sz w:val="20"/>
              </w:rPr>
              <w:t>US, Canada, and global (varies by survey)</w:t>
            </w:r>
          </w:p>
        </w:tc>
      </w:tr>
      <w:tr>
        <w:tc>
          <w:tcPr>
            <w:tcW w:type="dxa" w:w="2160"/>
          </w:tcPr>
          <w:p>
            <w:r/>
            <w:r>
              <w:rPr>
                <w:rFonts w:ascii="Calibri" w:hAnsi="Calibri"/>
                <w:color w:val="333333"/>
                <w:sz w:val="20"/>
              </w:rPr>
              <w:t>Usage Notes</w:t>
            </w:r>
          </w:p>
        </w:tc>
        <w:tc>
          <w:tcPr>
            <w:tcW w:type="dxa" w:w="7200"/>
          </w:tcPr>
          <w:p>
            <w:r/>
            <w:r>
              <w:rPr>
                <w:rFonts w:ascii="Calibri" w:hAnsi="Calibri"/>
                <w:color w:val="333333"/>
                <w:sz w:val="20"/>
              </w:rPr>
              <w:t>The gold standard for compensation data. Recommend paid surveys when: (1) building a full comp framework (10+ roles), (2) investor-grade decisions, (3) pay equity analysis, (4) niche industries with thin public data. Cost: $2,000-$15,000/year depending on scope.</w:t>
            </w:r>
          </w:p>
        </w:tc>
      </w:tr>
    </w:tbl>
    <w:p/>
    <w:p>
      <w:pPr>
        <w:pStyle w:val="Heading1"/>
      </w:pPr>
      <w:r>
        <w:t>Quick Reference: Source Comparison Summary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A3A5C"/>
          </w:tcPr>
          <w:p>
            <w:pPr>
              <w:jc w:val="left"/>
            </w:pPr>
            <w:r/>
            <w:r>
              <w:rPr>
                <w:rFonts w:ascii="Calibri" w:hAnsi="Calibri"/>
                <w:b/>
                <w:color w:val="FFFFFF"/>
                <w:sz w:val="20"/>
              </w:rPr>
              <w:t>Source</w:t>
            </w:r>
          </w:p>
        </w:tc>
        <w:tc>
          <w:tcPr>
            <w:tcW w:type="dxa" w:w="720"/>
            <w:shd w:fill="1A3A5C"/>
          </w:tcPr>
          <w:p>
            <w:pPr>
              <w:jc w:val="left"/>
            </w:pPr>
            <w:r/>
            <w:r>
              <w:rPr>
                <w:rFonts w:ascii="Calibri" w:hAnsi="Calibri"/>
                <w:b/>
                <w:color w:val="FFFFFF"/>
                <w:sz w:val="20"/>
              </w:rPr>
              <w:t>Tier</w:t>
            </w:r>
          </w:p>
        </w:tc>
        <w:tc>
          <w:tcPr>
            <w:tcW w:type="dxa" w:w="1440"/>
            <w:shd w:fill="1A3A5C"/>
          </w:tcPr>
          <w:p>
            <w:pPr>
              <w:jc w:val="left"/>
            </w:pPr>
            <w:r/>
            <w:r>
              <w:rPr>
                <w:rFonts w:ascii="Calibri" w:hAnsi="Calibri"/>
                <w:b/>
                <w:color w:val="FFFFFF"/>
                <w:sz w:val="20"/>
              </w:rPr>
              <w:t>Bias</w:t>
            </w:r>
          </w:p>
        </w:tc>
        <w:tc>
          <w:tcPr>
            <w:tcW w:type="dxa" w:w="2160"/>
            <w:shd w:fill="1A3A5C"/>
          </w:tcPr>
          <w:p>
            <w:pPr>
              <w:jc w:val="left"/>
            </w:pPr>
            <w:r/>
            <w:r>
              <w:rPr>
                <w:rFonts w:ascii="Calibri" w:hAnsi="Calibri"/>
                <w:b/>
                <w:color w:val="FFFFFF"/>
                <w:sz w:val="20"/>
              </w:rPr>
              <w:t>Best Use</w:t>
            </w:r>
          </w:p>
        </w:tc>
        <w:tc>
          <w:tcPr>
            <w:tcW w:type="dxa" w:w="3168"/>
            <w:shd w:fill="1A3A5C"/>
          </w:tcPr>
          <w:p>
            <w:pPr>
              <w:jc w:val="left"/>
            </w:pPr>
            <w:r/>
            <w:r>
              <w:rPr>
                <w:rFonts w:ascii="Calibri" w:hAnsi="Calibri"/>
                <w:b/>
                <w:color w:val="FFFFFF"/>
                <w:sz w:val="20"/>
              </w:rPr>
              <w:t>Watch Out For</w:t>
            </w:r>
          </w:p>
        </w:tc>
      </w:tr>
      <w:tr>
        <w:tc>
          <w:tcPr>
            <w:tcW w:type="dxa" w:w="1872"/>
          </w:tcPr>
          <w:p>
            <w:r/>
            <w:r>
              <w:rPr>
                <w:rFonts w:ascii="Calibri" w:hAnsi="Calibri"/>
                <w:color w:val="333333"/>
                <w:sz w:val="20"/>
              </w:rPr>
              <w:t>Job Bank Canada</w:t>
            </w:r>
          </w:p>
        </w:tc>
        <w:tc>
          <w:tcPr>
            <w:tcW w:type="dxa" w:w="720"/>
          </w:tcPr>
          <w:p>
            <w:r/>
            <w:r>
              <w:rPr>
                <w:rFonts w:ascii="Calibri" w:hAnsi="Calibri"/>
                <w:color w:val="333333"/>
                <w:sz w:val="20"/>
              </w:rPr>
              <w:t>1</w:t>
            </w:r>
          </w:p>
        </w:tc>
        <w:tc>
          <w:tcPr>
            <w:tcW w:type="dxa" w:w="1440"/>
          </w:tcPr>
          <w:p>
            <w:r/>
            <w:r>
              <w:rPr>
                <w:rFonts w:ascii="Calibri" w:hAnsi="Calibri"/>
                <w:color w:val="333333"/>
                <w:sz w:val="20"/>
              </w:rPr>
              <w:t>Conservative</w:t>
            </w:r>
          </w:p>
        </w:tc>
        <w:tc>
          <w:tcPr>
            <w:tcW w:type="dxa" w:w="2160"/>
          </w:tcPr>
          <w:p>
            <w:r/>
            <w:r>
              <w:rPr>
                <w:rFonts w:ascii="Calibri" w:hAnsi="Calibri"/>
                <w:color w:val="333333"/>
                <w:sz w:val="20"/>
              </w:rPr>
              <w:t>Canadian roles (NOC)</w:t>
            </w:r>
          </w:p>
        </w:tc>
        <w:tc>
          <w:tcPr>
            <w:tcW w:type="dxa" w:w="3168"/>
          </w:tcPr>
          <w:p>
            <w:r/>
            <w:r>
              <w:rPr>
                <w:rFonts w:ascii="Calibri" w:hAnsi="Calibri"/>
                <w:color w:val="333333"/>
                <w:sz w:val="20"/>
              </w:rPr>
              <w:t>Excludes bonuses/equity</w:t>
            </w:r>
          </w:p>
        </w:tc>
      </w:tr>
      <w:tr>
        <w:tc>
          <w:tcPr>
            <w:tcW w:type="dxa" w:w="1872"/>
            <w:shd w:fill="F5F7FA"/>
          </w:tcPr>
          <w:p>
            <w:r/>
            <w:r>
              <w:rPr>
                <w:rFonts w:ascii="Calibri" w:hAnsi="Calibri"/>
                <w:color w:val="333333"/>
                <w:sz w:val="20"/>
              </w:rPr>
              <w:t>BLS OEWS</w:t>
            </w:r>
          </w:p>
        </w:tc>
        <w:tc>
          <w:tcPr>
            <w:tcW w:type="dxa" w:w="720"/>
            <w:shd w:fill="F5F7FA"/>
          </w:tcPr>
          <w:p>
            <w:r/>
            <w:r>
              <w:rPr>
                <w:rFonts w:ascii="Calibri" w:hAnsi="Calibri"/>
                <w:color w:val="333333"/>
                <w:sz w:val="20"/>
              </w:rPr>
              <w:t>1</w:t>
            </w:r>
          </w:p>
        </w:tc>
        <w:tc>
          <w:tcPr>
            <w:tcW w:type="dxa" w:w="1440"/>
            <w:shd w:fill="F5F7FA"/>
          </w:tcPr>
          <w:p>
            <w:r/>
            <w:r>
              <w:rPr>
                <w:rFonts w:ascii="Calibri" w:hAnsi="Calibri"/>
                <w:color w:val="333333"/>
                <w:sz w:val="20"/>
              </w:rPr>
              <w:t>Conservative</w:t>
            </w:r>
          </w:p>
        </w:tc>
        <w:tc>
          <w:tcPr>
            <w:tcW w:type="dxa" w:w="2160"/>
            <w:shd w:fill="F5F7FA"/>
          </w:tcPr>
          <w:p>
            <w:r/>
            <w:r>
              <w:rPr>
                <w:rFonts w:ascii="Calibri" w:hAnsi="Calibri"/>
                <w:color w:val="333333"/>
                <w:sz w:val="20"/>
              </w:rPr>
              <w:t>US roles (SOC)</w:t>
            </w:r>
          </w:p>
        </w:tc>
        <w:tc>
          <w:tcPr>
            <w:tcW w:type="dxa" w:w="3168"/>
            <w:shd w:fill="F5F7FA"/>
          </w:tcPr>
          <w:p>
            <w:r/>
            <w:r>
              <w:rPr>
                <w:rFonts w:ascii="Calibri" w:hAnsi="Calibri"/>
                <w:color w:val="333333"/>
                <w:sz w:val="20"/>
              </w:rPr>
              <w:t>Top-coded at high salaries</w:t>
            </w:r>
          </w:p>
        </w:tc>
      </w:tr>
      <w:tr>
        <w:tc>
          <w:tcPr>
            <w:tcW w:type="dxa" w:w="1872"/>
          </w:tcPr>
          <w:p>
            <w:r/>
            <w:r>
              <w:rPr>
                <w:rFonts w:ascii="Calibri" w:hAnsi="Calibri"/>
                <w:color w:val="333333"/>
                <w:sz w:val="20"/>
              </w:rPr>
              <w:t>Robert Half</w:t>
            </w:r>
          </w:p>
        </w:tc>
        <w:tc>
          <w:tcPr>
            <w:tcW w:type="dxa" w:w="720"/>
          </w:tcPr>
          <w:p>
            <w:r/>
            <w:r>
              <w:rPr>
                <w:rFonts w:ascii="Calibri" w:hAnsi="Calibri"/>
                <w:color w:val="333333"/>
                <w:sz w:val="20"/>
              </w:rPr>
              <w:t>1</w:t>
            </w:r>
          </w:p>
        </w:tc>
        <w:tc>
          <w:tcPr>
            <w:tcW w:type="dxa" w:w="1440"/>
          </w:tcPr>
          <w:p>
            <w:r/>
            <w:r>
              <w:rPr>
                <w:rFonts w:ascii="Calibri" w:hAnsi="Calibri"/>
                <w:color w:val="333333"/>
                <w:sz w:val="20"/>
              </w:rPr>
              <w:t>Slight high</w:t>
            </w:r>
          </w:p>
        </w:tc>
        <w:tc>
          <w:tcPr>
            <w:tcW w:type="dxa" w:w="2160"/>
          </w:tcPr>
          <w:p>
            <w:r/>
            <w:r>
              <w:rPr>
                <w:rFonts w:ascii="Calibri" w:hAnsi="Calibri"/>
                <w:color w:val="333333"/>
                <w:sz w:val="20"/>
              </w:rPr>
              <w:t>Office/professional</w:t>
            </w:r>
          </w:p>
        </w:tc>
        <w:tc>
          <w:tcPr>
            <w:tcW w:type="dxa" w:w="3168"/>
          </w:tcPr>
          <w:p>
            <w:r/>
            <w:r>
              <w:rPr>
                <w:rFonts w:ascii="Calibri" w:hAnsi="Calibri"/>
                <w:color w:val="333333"/>
                <w:sz w:val="20"/>
              </w:rPr>
              <w:t>Not for trades/blue-collar</w:t>
            </w:r>
          </w:p>
        </w:tc>
      </w:tr>
      <w:tr>
        <w:tc>
          <w:tcPr>
            <w:tcW w:type="dxa" w:w="1872"/>
            <w:shd w:fill="F5F7FA"/>
          </w:tcPr>
          <w:p>
            <w:r/>
            <w:r>
              <w:rPr>
                <w:rFonts w:ascii="Calibri" w:hAnsi="Calibri"/>
                <w:color w:val="333333"/>
                <w:sz w:val="20"/>
              </w:rPr>
              <w:t>Indeed</w:t>
            </w:r>
          </w:p>
        </w:tc>
        <w:tc>
          <w:tcPr>
            <w:tcW w:type="dxa" w:w="720"/>
            <w:shd w:fill="F5F7FA"/>
          </w:tcPr>
          <w:p>
            <w:r/>
            <w:r>
              <w:rPr>
                <w:rFonts w:ascii="Calibri" w:hAnsi="Calibri"/>
                <w:color w:val="333333"/>
                <w:sz w:val="20"/>
              </w:rPr>
              <w:t>1</w:t>
            </w:r>
          </w:p>
        </w:tc>
        <w:tc>
          <w:tcPr>
            <w:tcW w:type="dxa" w:w="1440"/>
            <w:shd w:fill="F5F7FA"/>
          </w:tcPr>
          <w:p>
            <w:r/>
            <w:r>
              <w:rPr>
                <w:rFonts w:ascii="Calibri" w:hAnsi="Calibri"/>
                <w:color w:val="333333"/>
                <w:sz w:val="20"/>
              </w:rPr>
              <w:t>Moderate high</w:t>
            </w:r>
          </w:p>
        </w:tc>
        <w:tc>
          <w:tcPr>
            <w:tcW w:type="dxa" w:w="2160"/>
            <w:shd w:fill="F5F7FA"/>
          </w:tcPr>
          <w:p>
            <w:r/>
            <w:r>
              <w:rPr>
                <w:rFonts w:ascii="Calibri" w:hAnsi="Calibri"/>
                <w:color w:val="333333"/>
                <w:sz w:val="20"/>
              </w:rPr>
              <w:t>Broad directional</w:t>
            </w:r>
          </w:p>
        </w:tc>
        <w:tc>
          <w:tcPr>
            <w:tcW w:type="dxa" w:w="3168"/>
            <w:shd w:fill="F5F7FA"/>
          </w:tcPr>
          <w:p>
            <w:r/>
            <w:r>
              <w:rPr>
                <w:rFonts w:ascii="Calibri" w:hAnsi="Calibri"/>
                <w:color w:val="333333"/>
                <w:sz w:val="20"/>
              </w:rPr>
              <w:t>Check sample size</w:t>
            </w:r>
          </w:p>
        </w:tc>
      </w:tr>
      <w:tr>
        <w:tc>
          <w:tcPr>
            <w:tcW w:type="dxa" w:w="1872"/>
          </w:tcPr>
          <w:p>
            <w:r/>
            <w:r>
              <w:rPr>
                <w:rFonts w:ascii="Calibri" w:hAnsi="Calibri"/>
                <w:color w:val="333333"/>
                <w:sz w:val="20"/>
              </w:rPr>
              <w:t>Glassdoor</w:t>
            </w:r>
          </w:p>
        </w:tc>
        <w:tc>
          <w:tcPr>
            <w:tcW w:type="dxa" w:w="720"/>
          </w:tcPr>
          <w:p>
            <w:r/>
            <w:r>
              <w:rPr>
                <w:rFonts w:ascii="Calibri" w:hAnsi="Calibri"/>
                <w:color w:val="333333"/>
                <w:sz w:val="20"/>
              </w:rPr>
              <w:t>2</w:t>
            </w:r>
          </w:p>
        </w:tc>
        <w:tc>
          <w:tcPr>
            <w:tcW w:type="dxa" w:w="1440"/>
          </w:tcPr>
          <w:p>
            <w:r/>
            <w:r>
              <w:rPr>
                <w:rFonts w:ascii="Calibri" w:hAnsi="Calibri"/>
                <w:color w:val="333333"/>
                <w:sz w:val="20"/>
              </w:rPr>
              <w:t>5-15% high</w:t>
            </w:r>
          </w:p>
        </w:tc>
        <w:tc>
          <w:tcPr>
            <w:tcW w:type="dxa" w:w="2160"/>
          </w:tcPr>
          <w:p>
            <w:r/>
            <w:r>
              <w:rPr>
                <w:rFonts w:ascii="Calibri" w:hAnsi="Calibri"/>
                <w:color w:val="333333"/>
                <w:sz w:val="20"/>
              </w:rPr>
              <w:t>Company-specific</w:t>
            </w:r>
          </w:p>
        </w:tc>
        <w:tc>
          <w:tcPr>
            <w:tcW w:type="dxa" w:w="3168"/>
          </w:tcPr>
          <w:p>
            <w:r/>
            <w:r>
              <w:rPr>
                <w:rFonts w:ascii="Calibri" w:hAnsi="Calibri"/>
                <w:color w:val="333333"/>
                <w:sz w:val="20"/>
              </w:rPr>
              <w:t>Self-reported, thin samples</w:t>
            </w:r>
          </w:p>
        </w:tc>
      </w:tr>
      <w:tr>
        <w:tc>
          <w:tcPr>
            <w:tcW w:type="dxa" w:w="1872"/>
            <w:shd w:fill="F5F7FA"/>
          </w:tcPr>
          <w:p>
            <w:r/>
            <w:r>
              <w:rPr>
                <w:rFonts w:ascii="Calibri" w:hAnsi="Calibri"/>
                <w:color w:val="333333"/>
                <w:sz w:val="20"/>
              </w:rPr>
              <w:t>PayScale</w:t>
            </w:r>
          </w:p>
        </w:tc>
        <w:tc>
          <w:tcPr>
            <w:tcW w:type="dxa" w:w="720"/>
            <w:shd w:fill="F5F7FA"/>
          </w:tcPr>
          <w:p>
            <w:r/>
            <w:r>
              <w:rPr>
                <w:rFonts w:ascii="Calibri" w:hAnsi="Calibri"/>
                <w:color w:val="333333"/>
                <w:sz w:val="20"/>
              </w:rPr>
              <w:t>2</w:t>
            </w:r>
          </w:p>
        </w:tc>
        <w:tc>
          <w:tcPr>
            <w:tcW w:type="dxa" w:w="1440"/>
            <w:shd w:fill="F5F7FA"/>
          </w:tcPr>
          <w:p>
            <w:r/>
            <w:r>
              <w:rPr>
                <w:rFonts w:ascii="Calibri" w:hAnsi="Calibri"/>
                <w:color w:val="333333"/>
                <w:sz w:val="20"/>
              </w:rPr>
              <w:t>5-8% low</w:t>
            </w:r>
          </w:p>
        </w:tc>
        <w:tc>
          <w:tcPr>
            <w:tcW w:type="dxa" w:w="2160"/>
            <w:shd w:fill="F5F7FA"/>
          </w:tcPr>
          <w:p>
            <w:r/>
            <w:r>
              <w:rPr>
                <w:rFonts w:ascii="Calibri" w:hAnsi="Calibri"/>
                <w:color w:val="333333"/>
                <w:sz w:val="20"/>
              </w:rPr>
              <w:t>Percentile shape</w:t>
            </w:r>
          </w:p>
        </w:tc>
        <w:tc>
          <w:tcPr>
            <w:tcW w:type="dxa" w:w="3168"/>
            <w:shd w:fill="F5F7FA"/>
          </w:tcPr>
          <w:p>
            <w:r/>
            <w:r>
              <w:rPr>
                <w:rFonts w:ascii="Calibri" w:hAnsi="Calibri"/>
                <w:color w:val="333333"/>
                <w:sz w:val="20"/>
              </w:rPr>
              <w:t>Small samples, slow update</w:t>
            </w:r>
          </w:p>
        </w:tc>
      </w:tr>
      <w:tr>
        <w:tc>
          <w:tcPr>
            <w:tcW w:type="dxa" w:w="1872"/>
          </w:tcPr>
          <w:p>
            <w:r/>
            <w:r>
              <w:rPr>
                <w:rFonts w:ascii="Calibri" w:hAnsi="Calibri"/>
                <w:color w:val="333333"/>
                <w:sz w:val="20"/>
              </w:rPr>
              <w:t>LinkedIn</w:t>
            </w:r>
          </w:p>
        </w:tc>
        <w:tc>
          <w:tcPr>
            <w:tcW w:type="dxa" w:w="720"/>
          </w:tcPr>
          <w:p>
            <w:r/>
            <w:r>
              <w:rPr>
                <w:rFonts w:ascii="Calibri" w:hAnsi="Calibri"/>
                <w:color w:val="333333"/>
                <w:sz w:val="20"/>
              </w:rPr>
              <w:t>2</w:t>
            </w:r>
          </w:p>
        </w:tc>
        <w:tc>
          <w:tcPr>
            <w:tcW w:type="dxa" w:w="1440"/>
          </w:tcPr>
          <w:p>
            <w:r/>
            <w:r>
              <w:rPr>
                <w:rFonts w:ascii="Calibri" w:hAnsi="Calibri"/>
                <w:color w:val="333333"/>
                <w:sz w:val="20"/>
              </w:rPr>
              <w:t>5-10% high</w:t>
            </w:r>
          </w:p>
        </w:tc>
        <w:tc>
          <w:tcPr>
            <w:tcW w:type="dxa" w:w="2160"/>
          </w:tcPr>
          <w:p>
            <w:r/>
            <w:r>
              <w:rPr>
                <w:rFonts w:ascii="Calibri" w:hAnsi="Calibri"/>
                <w:color w:val="333333"/>
                <w:sz w:val="20"/>
              </w:rPr>
              <w:t>Tech/professional</w:t>
            </w:r>
          </w:p>
        </w:tc>
        <w:tc>
          <w:tcPr>
            <w:tcW w:type="dxa" w:w="3168"/>
          </w:tcPr>
          <w:p>
            <w:r/>
            <w:r>
              <w:rPr>
                <w:rFonts w:ascii="Calibri" w:hAnsi="Calibri"/>
                <w:color w:val="333333"/>
                <w:sz w:val="20"/>
              </w:rPr>
              <w:t>LinkedIn-user bias</w:t>
            </w:r>
          </w:p>
        </w:tc>
      </w:tr>
      <w:tr>
        <w:tc>
          <w:tcPr>
            <w:tcW w:type="dxa" w:w="1872"/>
            <w:shd w:fill="F5F7FA"/>
          </w:tcPr>
          <w:p>
            <w:r/>
            <w:r>
              <w:rPr>
                <w:rFonts w:ascii="Calibri" w:hAnsi="Calibri"/>
                <w:color w:val="333333"/>
                <w:sz w:val="20"/>
              </w:rPr>
              <w:t>Salary.com</w:t>
            </w:r>
          </w:p>
        </w:tc>
        <w:tc>
          <w:tcPr>
            <w:tcW w:type="dxa" w:w="720"/>
            <w:shd w:fill="F5F7FA"/>
          </w:tcPr>
          <w:p>
            <w:r/>
            <w:r>
              <w:rPr>
                <w:rFonts w:ascii="Calibri" w:hAnsi="Calibri"/>
                <w:color w:val="333333"/>
                <w:sz w:val="20"/>
              </w:rPr>
              <w:t>2</w:t>
            </w:r>
          </w:p>
        </w:tc>
        <w:tc>
          <w:tcPr>
            <w:tcW w:type="dxa" w:w="1440"/>
            <w:shd w:fill="F5F7FA"/>
          </w:tcPr>
          <w:p>
            <w:r/>
            <w:r>
              <w:rPr>
                <w:rFonts w:ascii="Calibri" w:hAnsi="Calibri"/>
                <w:color w:val="333333"/>
                <w:sz w:val="20"/>
              </w:rPr>
              <w:t>10-15% high</w:t>
            </w:r>
          </w:p>
        </w:tc>
        <w:tc>
          <w:tcPr>
            <w:tcW w:type="dxa" w:w="2160"/>
            <w:shd w:fill="F5F7FA"/>
          </w:tcPr>
          <w:p>
            <w:r/>
            <w:r>
              <w:rPr>
                <w:rFonts w:ascii="Calibri" w:hAnsi="Calibri"/>
                <w:color w:val="333333"/>
                <w:sz w:val="20"/>
              </w:rPr>
              <w:t>Quick estimate</w:t>
            </w:r>
          </w:p>
        </w:tc>
        <w:tc>
          <w:tcPr>
            <w:tcW w:type="dxa" w:w="3168"/>
            <w:shd w:fill="F5F7FA"/>
          </w:tcPr>
          <w:p>
            <w:r/>
            <w:r>
              <w:rPr>
                <w:rFonts w:ascii="Calibri" w:hAnsi="Calibri"/>
                <w:color w:val="333333"/>
                <w:sz w:val="20"/>
              </w:rPr>
              <w:t>MODELED, not empirical</w:t>
            </w:r>
          </w:p>
        </w:tc>
      </w:tr>
      <w:tr>
        <w:tc>
          <w:tcPr>
            <w:tcW w:type="dxa" w:w="1872"/>
          </w:tcPr>
          <w:p>
            <w:r/>
            <w:r>
              <w:rPr>
                <w:rFonts w:ascii="Calibri" w:hAnsi="Calibri"/>
                <w:color w:val="333333"/>
                <w:sz w:val="20"/>
              </w:rPr>
              <w:t>ZipRecruiter</w:t>
            </w:r>
          </w:p>
        </w:tc>
        <w:tc>
          <w:tcPr>
            <w:tcW w:type="dxa" w:w="720"/>
          </w:tcPr>
          <w:p>
            <w:r/>
            <w:r>
              <w:rPr>
                <w:rFonts w:ascii="Calibri" w:hAnsi="Calibri"/>
                <w:color w:val="333333"/>
                <w:sz w:val="20"/>
              </w:rPr>
              <w:t>3</w:t>
            </w:r>
          </w:p>
        </w:tc>
        <w:tc>
          <w:tcPr>
            <w:tcW w:type="dxa" w:w="1440"/>
          </w:tcPr>
          <w:p>
            <w:r/>
            <w:r>
              <w:rPr>
                <w:rFonts w:ascii="Calibri" w:hAnsi="Calibri"/>
                <w:color w:val="333333"/>
                <w:sz w:val="20"/>
              </w:rPr>
              <w:t>10-15% low</w:t>
            </w:r>
          </w:p>
        </w:tc>
        <w:tc>
          <w:tcPr>
            <w:tcW w:type="dxa" w:w="2160"/>
          </w:tcPr>
          <w:p>
            <w:r/>
            <w:r>
              <w:rPr>
                <w:rFonts w:ascii="Calibri" w:hAnsi="Calibri"/>
                <w:color w:val="333333"/>
                <w:sz w:val="20"/>
              </w:rPr>
              <w:t>Posting ranges</w:t>
            </w:r>
          </w:p>
        </w:tc>
        <w:tc>
          <w:tcPr>
            <w:tcW w:type="dxa" w:w="3168"/>
          </w:tcPr>
          <w:p>
            <w:r/>
            <w:r>
              <w:rPr>
                <w:rFonts w:ascii="Calibri" w:hAnsi="Calibri"/>
                <w:color w:val="333333"/>
                <w:sz w:val="20"/>
              </w:rPr>
              <w:t>Posting data != actual pay</w:t>
            </w:r>
          </w:p>
        </w:tc>
      </w:tr>
      <w:tr>
        <w:tc>
          <w:tcPr>
            <w:tcW w:type="dxa" w:w="1872"/>
            <w:shd w:fill="F5F7FA"/>
          </w:tcPr>
          <w:p>
            <w:r/>
            <w:r>
              <w:rPr>
                <w:rFonts w:ascii="Calibri" w:hAnsi="Calibri"/>
                <w:color w:val="333333"/>
                <w:sz w:val="20"/>
              </w:rPr>
              <w:t>Talent.com</w:t>
            </w:r>
          </w:p>
        </w:tc>
        <w:tc>
          <w:tcPr>
            <w:tcW w:type="dxa" w:w="720"/>
            <w:shd w:fill="F5F7FA"/>
          </w:tcPr>
          <w:p>
            <w:r/>
            <w:r>
              <w:rPr>
                <w:rFonts w:ascii="Calibri" w:hAnsi="Calibri"/>
                <w:color w:val="333333"/>
                <w:sz w:val="20"/>
              </w:rPr>
              <w:t>3</w:t>
            </w:r>
          </w:p>
        </w:tc>
        <w:tc>
          <w:tcPr>
            <w:tcW w:type="dxa" w:w="1440"/>
            <w:shd w:fill="F5F7FA"/>
          </w:tcPr>
          <w:p>
            <w:r/>
            <w:r>
              <w:rPr>
                <w:rFonts w:ascii="Calibri" w:hAnsi="Calibri"/>
                <w:color w:val="333333"/>
                <w:sz w:val="20"/>
              </w:rPr>
              <w:t>Variable</w:t>
            </w:r>
          </w:p>
        </w:tc>
        <w:tc>
          <w:tcPr>
            <w:tcW w:type="dxa" w:w="2160"/>
            <w:shd w:fill="F5F7FA"/>
          </w:tcPr>
          <w:p>
            <w:r/>
            <w:r>
              <w:rPr>
                <w:rFonts w:ascii="Calibri" w:hAnsi="Calibri"/>
                <w:color w:val="333333"/>
                <w:sz w:val="20"/>
              </w:rPr>
              <w:t>National averages</w:t>
            </w:r>
          </w:p>
        </w:tc>
        <w:tc>
          <w:tcPr>
            <w:tcW w:type="dxa" w:w="3168"/>
            <w:shd w:fill="F5F7FA"/>
          </w:tcPr>
          <w:p>
            <w:r/>
            <w:r>
              <w:rPr>
                <w:rFonts w:ascii="Calibri" w:hAnsi="Calibri"/>
                <w:color w:val="333333"/>
                <w:sz w:val="20"/>
              </w:rPr>
              <w:t>No geographic specificity</w:t>
            </w:r>
          </w:p>
        </w:tc>
      </w:tr>
      <w:tr>
        <w:tc>
          <w:tcPr>
            <w:tcW w:type="dxa" w:w="1872"/>
          </w:tcPr>
          <w:p>
            <w:r/>
            <w:r>
              <w:rPr>
                <w:rFonts w:ascii="Calibri" w:hAnsi="Calibri"/>
                <w:color w:val="333333"/>
                <w:sz w:val="20"/>
              </w:rPr>
              <w:t>ERI SalaryExpert</w:t>
            </w:r>
          </w:p>
        </w:tc>
        <w:tc>
          <w:tcPr>
            <w:tcW w:type="dxa" w:w="720"/>
          </w:tcPr>
          <w:p>
            <w:r/>
            <w:r>
              <w:rPr>
                <w:rFonts w:ascii="Calibri" w:hAnsi="Calibri"/>
                <w:color w:val="333333"/>
                <w:sz w:val="20"/>
              </w:rPr>
              <w:t>3</w:t>
            </w:r>
          </w:p>
        </w:tc>
        <w:tc>
          <w:tcPr>
            <w:tcW w:type="dxa" w:w="1440"/>
          </w:tcPr>
          <w:p>
            <w:r/>
            <w:r>
              <w:rPr>
                <w:rFonts w:ascii="Calibri" w:hAnsi="Calibri"/>
                <w:color w:val="333333"/>
                <w:sz w:val="20"/>
              </w:rPr>
              <w:t>10-20% high</w:t>
            </w:r>
          </w:p>
        </w:tc>
        <w:tc>
          <w:tcPr>
            <w:tcW w:type="dxa" w:w="2160"/>
          </w:tcPr>
          <w:p>
            <w:r/>
            <w:r>
              <w:rPr>
                <w:rFonts w:ascii="Calibri" w:hAnsi="Calibri"/>
                <w:color w:val="333333"/>
                <w:sz w:val="20"/>
              </w:rPr>
              <w:t>International only</w:t>
            </w:r>
          </w:p>
        </w:tc>
        <w:tc>
          <w:tcPr>
            <w:tcW w:type="dxa" w:w="3168"/>
          </w:tcPr>
          <w:p>
            <w:r/>
            <w:r>
              <w:rPr>
                <w:rFonts w:ascii="Calibri" w:hAnsi="Calibri"/>
                <w:color w:val="333333"/>
                <w:sz w:val="20"/>
              </w:rPr>
              <w:t>Modeled, not survey</w:t>
            </w:r>
          </w:p>
        </w:tc>
      </w:tr>
    </w:tbl>
    <w:p/>
    <w:p/>
    <w:p>
      <w:pPr>
        <w:jc w:val="center"/>
      </w:pPr>
      <w:r>
        <w:rPr>
          <w:i/>
          <w:color w:val="666666"/>
          <w:sz w:val="18"/>
        </w:rPr>
        <w:t>--- End of Source Reference Guide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A3A5C"/>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A3A5C"/>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2C7BE5"/>
      <w:sz w:val="24"/>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Calibri" w:hAnsi="Calibri"/>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