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with CFPOA (Canada) and FCPA (US) References</w:t>
      </w:r>
    </w:p>
    <w:p>
      <w:pPr>
        <w:pStyle w:val="Heading1"/>
      </w:pPr>
      <w:r>
        <w:t>Anti-Bribery and Anti-Corruption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[POLICY-017]</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is committed to conducting business with integrity, transparency, and in full compliance with all applicable anti-bribery and anti-corruption laws. This policy establishes a zero-tolerance standard for bribery and corruption in all forms and provides guidance to employees on prohibited conduct, gifts and entertainment, political contributions, and reporting obligations.</w:t>
      </w:r>
    </w:p>
    <w:p>
      <w:pPr>
        <w:pStyle w:val="Heading2"/>
      </w:pPr>
      <w:r>
        <w:t>2. Scope</w:t>
      </w:r>
    </w:p>
    <w:p>
      <w:r>
        <w:t>This policy applies to all employees, officers, directors, contractors, consultants, agents, and any person acting on behalf of [COMPANY NAME], worldwide. It applies to all business activities, in every country and jurisdiction in which [COMPANY NAME] operates or conducts business.</w:t>
      </w:r>
    </w:p>
    <w:p>
      <w:pPr>
        <w:pStyle w:val="Heading2"/>
      </w:pPr>
      <w:r>
        <w:t>3. Legal Framework</w:t>
      </w:r>
    </w:p>
    <w:p>
      <w:r>
        <w:t>[COMPANY NAME] is subject to the following anti-bribery and anti-corruption laws (as applicable):</w:t>
      </w:r>
    </w:p>
    <w:p>
      <w:pPr>
        <w:pStyle w:val="ListBullet"/>
      </w:pPr>
      <w:r>
        <w:rPr>
          <w:b/>
        </w:rPr>
        <w:t xml:space="preserve">Canada: </w:t>
      </w:r>
      <w:r>
        <w:t>Corruption of Foreign Public Officials Act (CFPOA, S.C. 1998, c. 34) -- prohibits bribing foreign public officials;</w:t>
      </w:r>
    </w:p>
    <w:p>
      <w:pPr>
        <w:pStyle w:val="ListBullet"/>
      </w:pPr>
      <w:r>
        <w:rPr>
          <w:b/>
        </w:rPr>
        <w:t xml:space="preserve">Canada: </w:t>
      </w:r>
      <w:r>
        <w:t>Criminal Code of Canada (R.S.C. 1985, c. C-46), sections 119-125 -- prohibits bribery of domestic officials and secret commissions;</w:t>
      </w:r>
    </w:p>
    <w:p>
      <w:pPr>
        <w:pStyle w:val="ListBullet"/>
      </w:pPr>
      <w:r>
        <w:rPr>
          <w:b/>
        </w:rPr>
        <w:t xml:space="preserve">United States: </w:t>
      </w:r>
      <w:r>
        <w:t>Foreign Corrupt Practices Act (FCPA, 15 U.S.C. sec. 78dd-1 et seq.) -- prohibits bribing foreign officials and requires accurate books and records;</w:t>
      </w:r>
    </w:p>
    <w:p>
      <w:pPr>
        <w:pStyle w:val="ListBullet"/>
      </w:pPr>
      <w:r>
        <w:rPr>
          <w:b/>
        </w:rPr>
        <w:t xml:space="preserve">Other Jurisdictions: </w:t>
      </w:r>
      <w:r>
        <w:t>Applicable local anti-corruption legislation in each jurisdiction where [COMPANY NAME] operates.</w:t>
      </w:r>
    </w:p>
    <w:p>
      <w:pPr>
        <w:pStyle w:val="Heading2"/>
      </w:pPr>
      <w:r>
        <w:t>4. Zero Tolerance for Bribery and Corruption</w:t>
      </w:r>
    </w:p>
    <w:p>
      <w:r>
        <w:rPr>
          <w:b/>
        </w:rPr>
        <w:t>[COMPANY NAME] has a zero-tolerance policy for bribery and corruption in any form.</w:t>
      </w:r>
    </w:p>
    <w:p>
      <w:r>
        <w:t>No employee or representative of [COMPANY NAME] shall, directly or through a third party:</w:t>
      </w:r>
    </w:p>
    <w:p>
      <w:pPr>
        <w:pStyle w:val="ListBullet"/>
      </w:pPr>
      <w:r>
        <w:t>Offer, promise, give, authorize, or pay anything of value to any person for the purpose of influencing an act or decision, or securing an improper advantage;</w:t>
      </w:r>
    </w:p>
    <w:p>
      <w:pPr>
        <w:pStyle w:val="ListBullet"/>
      </w:pPr>
      <w:r>
        <w:t>Solicit, accept, receive, or agree to receive anything of value as an inducement or reward for an act or decision in their capacity as an employee of [COMPANY NAME];</w:t>
      </w:r>
    </w:p>
    <w:p>
      <w:pPr>
        <w:pStyle w:val="ListBullet"/>
      </w:pPr>
      <w:r>
        <w:t>Make a facilitation payment (a small payment to expedite or secure the performance of a routine governmental action). Facilitation payments are prohibited, regardless of local custom or practice.</w:t>
      </w:r>
    </w:p>
    <w:p>
      <w:pPr>
        <w:pStyle w:val="Heading2"/>
      </w:pPr>
      <w:r>
        <w:t>5. Gifts and Entertainment</w:t>
      </w:r>
    </w:p>
    <w:p>
      <w:r>
        <w:t>[COMPANY NAME] recognizes that modest gifts and business entertainment are a normal part of business relationships. However, gifts and entertainment must never be used to improperly influence a business decision or create an expectation of reciprocity.</w:t>
      </w:r>
    </w:p>
    <w:p>
      <w:pPr>
        <w:pStyle w:val="Heading3"/>
      </w:pPr>
      <w:r>
        <w:t>5.1 Permitted</w:t>
      </w:r>
    </w:p>
    <w:p>
      <w:pPr>
        <w:pStyle w:val="ListBullet"/>
      </w:pPr>
      <w:r>
        <w:t>Gifts and entertainment of modest value (not exceeding [INSERT VALUE, e.g., $100 CAD per occasion]);</w:t>
      </w:r>
    </w:p>
    <w:p>
      <w:pPr>
        <w:pStyle w:val="ListBullet"/>
      </w:pPr>
      <w:r>
        <w:t>Business meals and hospitality that are reasonable, proportionate, and directly related to a legitimate business purpose;</w:t>
      </w:r>
    </w:p>
    <w:p>
      <w:pPr>
        <w:pStyle w:val="ListBullet"/>
      </w:pPr>
      <w:r>
        <w:t>Promotional items of nominal value (branded merchandise, pens, calendars).</w:t>
      </w:r>
    </w:p>
    <w:p>
      <w:pPr>
        <w:pStyle w:val="Heading3"/>
      </w:pPr>
      <w:r>
        <w:t>5.2 Prohibited</w:t>
      </w:r>
    </w:p>
    <w:p>
      <w:pPr>
        <w:pStyle w:val="ListBullet"/>
      </w:pPr>
      <w:r>
        <w:t>Cash or cash equivalents (gift cards, vouchers) to government officials, clients, or business partners;</w:t>
      </w:r>
    </w:p>
    <w:p>
      <w:pPr>
        <w:pStyle w:val="ListBullet"/>
      </w:pPr>
      <w:r>
        <w:t>Lavish or excessive entertainment not proportionate to the business relationship;</w:t>
      </w:r>
    </w:p>
    <w:p>
      <w:pPr>
        <w:pStyle w:val="ListBullet"/>
      </w:pPr>
      <w:r>
        <w:t>Gifts or entertainment offered during a procurement, tender, or regulatory decision process;</w:t>
      </w:r>
    </w:p>
    <w:p>
      <w:pPr>
        <w:pStyle w:val="ListBullet"/>
      </w:pPr>
      <w:r>
        <w:t>Any gift or entertainment that the recipient's organization prohibits.</w:t>
      </w:r>
    </w:p>
    <w:p>
      <w:pPr>
        <w:pStyle w:val="Heading3"/>
      </w:pPr>
      <w:r>
        <w:t>5.3 Documentation</w:t>
      </w:r>
    </w:p>
    <w:p>
      <w:r>
        <w:t>All gifts and entertainment given or received above [INSERT VALUE, e.g., $50 CAD] must be documented and reported to the employee's supervisor and to the compliance function. Records must be accurate and maintained in accordance with [COMPANY NAME]'s record-keeping requirements.</w:t>
      </w:r>
    </w:p>
    <w:p>
      <w:pPr>
        <w:pStyle w:val="Heading2"/>
      </w:pPr>
      <w:r>
        <w:t>6. Political Contributions</w:t>
      </w:r>
    </w:p>
    <w:p>
      <w:r>
        <w:t>[COMPANY NAME] does not make political contributions on behalf of the company. Individual employees may make personal political contributions from their own funds, provided they:</w:t>
      </w:r>
    </w:p>
    <w:p>
      <w:pPr>
        <w:pStyle w:val="ListBullet"/>
      </w:pPr>
      <w:r>
        <w:t>Do not represent the contribution as being made on behalf of [COMPANY NAME];</w:t>
      </w:r>
    </w:p>
    <w:p>
      <w:pPr>
        <w:pStyle w:val="ListBullet"/>
      </w:pPr>
      <w:r>
        <w:t>Do not use [COMPANY NAME] resources, time, or facilities to support political activities;</w:t>
      </w:r>
    </w:p>
    <w:p>
      <w:pPr>
        <w:pStyle w:val="ListBullet"/>
      </w:pPr>
      <w:r>
        <w:t>Comply with all applicable campaign finance laws.</w:t>
      </w:r>
    </w:p>
    <w:p>
      <w:pPr>
        <w:pStyle w:val="Heading2"/>
      </w:pPr>
      <w:r>
        <w:t>7. Charitable Donations and Sponsorships</w:t>
      </w:r>
    </w:p>
    <w:p>
      <w:r>
        <w:t>Charitable donations and sponsorships made by [COMPANY NAME] must be:</w:t>
      </w:r>
    </w:p>
    <w:p>
      <w:pPr>
        <w:pStyle w:val="ListBullet"/>
      </w:pPr>
      <w:r>
        <w:t>Made transparently, with proper documentation and authorization;</w:t>
      </w:r>
    </w:p>
    <w:p>
      <w:pPr>
        <w:pStyle w:val="ListBullet"/>
      </w:pPr>
      <w:r>
        <w:t>Directed to legitimate charitable organizations;</w:t>
      </w:r>
    </w:p>
    <w:p>
      <w:pPr>
        <w:pStyle w:val="ListBullet"/>
      </w:pPr>
      <w:r>
        <w:t>Not used as a channel to disguise bribery or to improperly influence a business decision;</w:t>
      </w:r>
    </w:p>
    <w:p>
      <w:pPr>
        <w:pStyle w:val="ListBullet"/>
      </w:pPr>
      <w:r>
        <w:t>Approved by [INSERT APPROVING AUTHORITY, e.g., VP Finance or CEO].</w:t>
      </w:r>
    </w:p>
    <w:p>
      <w:pPr>
        <w:pStyle w:val="Heading2"/>
      </w:pPr>
      <w:r>
        <w:t>8. Third-Party Due Diligence</w:t>
      </w:r>
    </w:p>
    <w:p>
      <w:r>
        <w:t>[COMPANY NAME] will conduct risk-based due diligence on agents, consultants, distributors, suppliers, and other third parties who act on its behalf or with whom it has significant business relationships. Due diligence will include:</w:t>
      </w:r>
    </w:p>
    <w:p>
      <w:pPr>
        <w:pStyle w:val="ListBullet"/>
      </w:pPr>
      <w:r>
        <w:t>Assessment of the third party's reputation and anti-corruption track record;</w:t>
      </w:r>
    </w:p>
    <w:p>
      <w:pPr>
        <w:pStyle w:val="ListBullet"/>
      </w:pPr>
      <w:r>
        <w:t>Review of the third party's own anti-corruption policies and controls;</w:t>
      </w:r>
    </w:p>
    <w:p>
      <w:pPr>
        <w:pStyle w:val="ListBullet"/>
      </w:pPr>
      <w:r>
        <w:t>Ongoing monitoring and periodic reassessment;</w:t>
      </w:r>
    </w:p>
    <w:p>
      <w:pPr>
        <w:pStyle w:val="ListBullet"/>
      </w:pPr>
      <w:r>
        <w:t>Contractual provisions requiring compliance with anti-bribery laws and granting [COMPANY NAME] audit rights.</w:t>
      </w:r>
    </w:p>
    <w:p>
      <w:pPr>
        <w:pStyle w:val="Heading2"/>
      </w:pPr>
      <w:r>
        <w:t>9. Red Flags</w:t>
      </w:r>
    </w:p>
    <w:p>
      <w:r>
        <w:t>Employees should be alert to the following red flags, which may indicate bribery or corruption risk:</w:t>
      </w:r>
    </w:p>
    <w:p>
      <w:pPr>
        <w:pStyle w:val="ListBullet"/>
      </w:pPr>
      <w:r>
        <w:t>A third party requests payment in cash, to an offshore account, or in a currency inconsistent with the transaction;</w:t>
      </w:r>
    </w:p>
    <w:p>
      <w:pPr>
        <w:pStyle w:val="ListBullet"/>
      </w:pPr>
      <w:r>
        <w:t>A third party requests an unusually large commission or fee;</w:t>
      </w:r>
    </w:p>
    <w:p>
      <w:pPr>
        <w:pStyle w:val="ListBullet"/>
      </w:pPr>
      <w:r>
        <w:t>A government official or client suggests that a payment or gift is necessary to "facilitate" or "expedite" a process;</w:t>
      </w:r>
    </w:p>
    <w:p>
      <w:pPr>
        <w:pStyle w:val="ListBullet"/>
      </w:pPr>
      <w:r>
        <w:t>A third party refuses to commit to anti-corruption compliance provisions;</w:t>
      </w:r>
    </w:p>
    <w:p>
      <w:pPr>
        <w:pStyle w:val="ListBullet"/>
      </w:pPr>
      <w:r>
        <w:t>Lack of transparency in a third party's ownership structure or business relationships.</w:t>
      </w:r>
    </w:p>
    <w:p>
      <w:pPr>
        <w:pStyle w:val="Heading2"/>
      </w:pPr>
      <w:r>
        <w:t>10. Record-Keeping</w:t>
      </w:r>
    </w:p>
    <w:p>
      <w:r>
        <w:t>[COMPANY NAME] must maintain accurate books and records that fairly reflect all transactions. No payment, expenditure, or entry may be made in the books and records that intentionally misrepresents the nature of the transaction. This obligation applies to all employees and is critical to compliance with the FCPA's books and records provisions (15 U.S.C. sec. 78m).</w:t>
      </w:r>
    </w:p>
    <w:p>
      <w:pPr>
        <w:pStyle w:val="Heading2"/>
      </w:pPr>
      <w:r>
        <w:t>11. Reporting Suspected Violations</w:t>
      </w:r>
    </w:p>
    <w:p>
      <w:r>
        <w:t>Employees who suspect or become aware of a violation of this policy must report it immediately through any of the reporting channels described in [COMPANY NAME]'s Whistleblower Policy, including to their supervisor, Human Resources, or the anonymous reporting mechanism. Reports will be treated confidentially and investigated promptly. [COMPANY NAME] will not retaliate against any person who reports a suspected violation in good faith.</w:t>
      </w:r>
    </w:p>
    <w:p>
      <w:pPr>
        <w:pStyle w:val="Heading2"/>
      </w:pPr>
      <w:r>
        <w:t>12. Annual Certification</w:t>
      </w:r>
    </w:p>
    <w:p>
      <w:r>
        <w:t>All employees in positions with exposure to bribery or corruption risk (including those with authority to make or approve payments, interact with government officials, or manage third-party relationships) will be required to complete an annual certification confirming their understanding of and compliance with this policy.</w:t>
      </w:r>
    </w:p>
    <w:p>
      <w:pPr>
        <w:pStyle w:val="Heading2"/>
      </w:pPr>
      <w:r>
        <w:t>13. Consequences of Violation</w:t>
      </w:r>
    </w:p>
    <w:p>
      <w:r>
        <w:t>Violations of this policy may result in disciplinary action up to and including termination of employment, and may also result in criminal prosecution and civil liability under applicable law. [COMPANY NAME] will cooperate fully with law enforcement and regulatory authorities in the investigation of suspected violations.</w:t>
      </w:r>
    </w:p>
    <w:p>
      <w:pPr>
        <w:pStyle w:val="Heading2"/>
      </w:pPr>
      <w:r>
        <w:t>14. Policy Review</w:t>
      </w:r>
    </w:p>
    <w:p>
      <w:r>
        <w:t>This policy will be reviewed annually or as required by changes in applicable legislation, regulatory guidance,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Anti-Bribery and Anti-Corruption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