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1A3A5C"/>
          <w:sz w:val="44"/>
        </w:rPr>
        <w:t>[COMPANY NAME]</w:t>
      </w:r>
    </w:p>
    <w:p>
      <w:r>
        <w:rPr>
          <w:rFonts w:ascii="Calibri" w:hAnsi="Calibri"/>
          <w:color w:val="666666"/>
          <w:sz w:val="22"/>
        </w:rPr>
        <w:t>[CONSTRUCTION] -- [ONTARIO O.Reg 213/91 Part III] -- [OSHA 1926 Subpart P]</w:t>
      </w:r>
    </w:p>
    <w:p>
      <w:pPr>
        <w:pStyle w:val="Heading1"/>
      </w:pPr>
      <w:r>
        <w:t>Excavation &amp; Trenching Safety Policy</w:t>
      </w:r>
    </w:p>
    <w:tbl>
      <w:tblPr>
        <w:tblW w:type="auto" w:w="0"/>
        <w:jc w:val="left"/>
        <w:tblLook w:firstColumn="1" w:firstRow="1" w:lastColumn="0" w:lastRow="0" w:noHBand="0" w:noVBand="1" w:val="04A0"/>
      </w:tblPr>
      <w:tblGrid>
        <w:gridCol w:w="4320"/>
        <w:gridCol w:w="4320"/>
      </w:tblGrid>
      <w:tr>
        <w:tc>
          <w:tcPr>
            <w:tcW w:type="dxa" w:w="4320"/>
          </w:tcPr>
          <w:p>
            <w:r/>
            <w:r>
              <w:rPr>
                <w:rFonts w:ascii="Calibri" w:hAnsi="Calibri"/>
                <w:b/>
                <w:sz w:val="20"/>
              </w:rPr>
              <w:t>Policy Number:</w:t>
            </w:r>
          </w:p>
        </w:tc>
        <w:tc>
          <w:tcPr>
            <w:tcW w:type="dxa" w:w="4320"/>
          </w:tcPr>
          <w:p>
            <w:r/>
            <w:r>
              <w:rPr>
                <w:rFonts w:ascii="Calibri" w:hAnsi="Calibri"/>
                <w:sz w:val="20"/>
              </w:rPr>
              <w:t>[POLICY-029]</w:t>
            </w:r>
          </w:p>
        </w:tc>
      </w:tr>
      <w:tr>
        <w:tc>
          <w:tcPr>
            <w:tcW w:type="dxa" w:w="4320"/>
          </w:tcPr>
          <w:p>
            <w:r/>
            <w:r>
              <w:rPr>
                <w:rFonts w:ascii="Calibri" w:hAnsi="Calibri"/>
                <w:b/>
                <w:sz w:val="20"/>
              </w:rPr>
              <w:t>Version:</w:t>
            </w:r>
          </w:p>
        </w:tc>
        <w:tc>
          <w:tcPr>
            <w:tcW w:type="dxa" w:w="4320"/>
          </w:tcPr>
          <w:p>
            <w:r/>
            <w:r>
              <w:rPr>
                <w:rFonts w:ascii="Calibri" w:hAnsi="Calibri"/>
                <w:sz w:val="20"/>
              </w:rPr>
              <w:t>[1.0]</w:t>
            </w:r>
          </w:p>
        </w:tc>
      </w:tr>
      <w:tr>
        <w:tc>
          <w:tcPr>
            <w:tcW w:type="dxa" w:w="4320"/>
          </w:tcPr>
          <w:p>
            <w:r/>
            <w:r>
              <w:rPr>
                <w:rFonts w:ascii="Calibri" w:hAnsi="Calibri"/>
                <w:b/>
                <w:sz w:val="20"/>
              </w:rPr>
              <w:t>Effective Date:</w:t>
            </w:r>
          </w:p>
        </w:tc>
        <w:tc>
          <w:tcPr>
            <w:tcW w:type="dxa" w:w="4320"/>
          </w:tcPr>
          <w:p>
            <w:r/>
            <w:r>
              <w:rPr>
                <w:rFonts w:ascii="Calibri" w:hAnsi="Calibri"/>
                <w:sz w:val="20"/>
              </w:rPr>
              <w:t>[EFFECTIVE DATE]</w:t>
            </w:r>
          </w:p>
        </w:tc>
      </w:tr>
      <w:tr>
        <w:tc>
          <w:tcPr>
            <w:tcW w:type="dxa" w:w="4320"/>
          </w:tcPr>
          <w:p>
            <w:r/>
            <w:r>
              <w:rPr>
                <w:rFonts w:ascii="Calibri" w:hAnsi="Calibri"/>
                <w:b/>
                <w:sz w:val="20"/>
              </w:rPr>
              <w:t>Last Reviewed:</w:t>
            </w:r>
          </w:p>
        </w:tc>
        <w:tc>
          <w:tcPr>
            <w:tcW w:type="dxa" w:w="4320"/>
          </w:tcPr>
          <w:p>
            <w:r/>
            <w:r>
              <w:rPr>
                <w:rFonts w:ascii="Calibri" w:hAnsi="Calibri"/>
                <w:sz w:val="20"/>
              </w:rPr>
              <w:t>[REVIEW DATE]</w:t>
            </w:r>
          </w:p>
        </w:tc>
      </w:tr>
      <w:tr>
        <w:tc>
          <w:tcPr>
            <w:tcW w:type="dxa" w:w="4320"/>
          </w:tcPr>
          <w:p>
            <w:r/>
            <w:r>
              <w:rPr>
                <w:rFonts w:ascii="Calibri" w:hAnsi="Calibri"/>
                <w:b/>
                <w:sz w:val="20"/>
              </w:rPr>
              <w:t>Policy Owner:</w:t>
            </w:r>
          </w:p>
        </w:tc>
        <w:tc>
          <w:tcPr>
            <w:tcW w:type="dxa" w:w="4320"/>
          </w:tcPr>
          <w:p>
            <w:r/>
            <w:r>
              <w:rPr>
                <w:rFonts w:ascii="Calibri" w:hAnsi="Calibri"/>
                <w:sz w:val="20"/>
              </w:rPr>
              <w:t>Health &amp; Safety Manager / VP, Human Resources</w:t>
            </w:r>
          </w:p>
        </w:tc>
      </w:tr>
    </w:tbl>
    <w:p/>
    <w:p>
      <w:pPr>
        <w:pStyle w:val="Heading2"/>
      </w:pPr>
      <w:r>
        <w:t>1. Purpose</w:t>
      </w:r>
    </w:p>
    <w:p>
      <w:r>
        <w:t>[COMPANY NAME] is committed to protecting workers from the hazards associated with excavation and trenching operations, including cave-in, which is one of the most common causes of fatality in construction. This policy establishes the requirements for excavation planning, protective systems, competent person duties, and emergency response in compliance with Ontario Regulation 213/91 (Construction Projects) Part III and OSHA Standard 1926 Subpart P (Excavations) in applicable United States jurisdictions.</w:t>
      </w:r>
    </w:p>
    <w:p>
      <w:pPr>
        <w:pStyle w:val="Heading2"/>
      </w:pPr>
      <w:r>
        <w:t>2. Scope</w:t>
      </w:r>
    </w:p>
    <w:p>
      <w:r>
        <w:t>This policy applies to all employees, contractors, and subcontractors involved in excavation, trenching, and related operations at any [COMPANY NAME] worksite. An excavation is any man-made cut, cavity, trench, or depression in the earth's surface formed by earth removal. A trench is a narrow excavation where the depth exceeds the width.</w:t>
      </w:r>
    </w:p>
    <w:p>
      <w:pPr>
        <w:pStyle w:val="Heading2"/>
      </w:pPr>
      <w:r>
        <w:t>3. Utility Locates</w:t>
      </w:r>
    </w:p>
    <w:p>
      <w:r>
        <w:t>Before any excavation begins, utility locates are MANDATORY:</w:t>
      </w:r>
    </w:p>
    <w:p>
      <w:pPr>
        <w:pStyle w:val="ListBullet"/>
      </w:pPr>
      <w:r>
        <w:t>Contact Ontario One Call (ON1Call) at least 5 business days before digging, or 811 in applicable US jurisdictions. Request locates for all underground utilities (gas, electric, telecommunications, water, sewer, cable);</w:t>
      </w:r>
    </w:p>
    <w:p>
      <w:pPr>
        <w:pStyle w:val="ListBullet"/>
      </w:pPr>
      <w:r>
        <w:t>Wait for ALL utilities to be marked before beginning excavation. Do not begin digging if any utility has not responded;</w:t>
      </w:r>
    </w:p>
    <w:p>
      <w:pPr>
        <w:pStyle w:val="ListBullet"/>
      </w:pPr>
      <w:r>
        <w:t>Within the tolerance zone (typically 1 metre on either side of the marked utility), all digging must be done by hand or by non-destructive methods (vacuum excavation, hydrovac);</w:t>
      </w:r>
    </w:p>
    <w:p>
      <w:pPr>
        <w:pStyle w:val="ListBullet"/>
      </w:pPr>
      <w:r>
        <w:t>If an unmarked utility is discovered during excavation, stop work immediately, secure the area, and contact the utility owner;</w:t>
      </w:r>
    </w:p>
    <w:p>
      <w:pPr>
        <w:pStyle w:val="ListBullet"/>
      </w:pPr>
      <w:r>
        <w:t>Locate requests expire after the period specified by the locator. Renew locates for long-duration projects.</w:t>
      </w:r>
    </w:p>
    <w:p>
      <w:pPr>
        <w:pStyle w:val="Heading2"/>
      </w:pPr>
      <w:r>
        <w:t>4. Competent Person</w:t>
      </w:r>
    </w:p>
    <w:p>
      <w:r>
        <w:t>A competent person must be present on-site during ALL excavation operations. Under both O.Reg 213/91 and OSHA 1926.650, a competent person is an individual who:</w:t>
      </w:r>
    </w:p>
    <w:p>
      <w:pPr>
        <w:pStyle w:val="ListBullet"/>
      </w:pPr>
      <w:r>
        <w:t>Is capable of identifying existing and predictable hazards in the surroundings or working conditions that are unsanitary, hazardous, or dangerous to workers;</w:t>
      </w:r>
    </w:p>
    <w:p>
      <w:pPr>
        <w:pStyle w:val="ListBullet"/>
      </w:pPr>
      <w:r>
        <w:t>Is authorized to take prompt corrective measures to eliminate such hazards, including ordering work to stop;</w:t>
      </w:r>
    </w:p>
    <w:p>
      <w:pPr>
        <w:pStyle w:val="ListBullet"/>
      </w:pPr>
      <w:r>
        <w:t>Has training and experience in soil classification, protective systems, and excavation safety.</w:t>
      </w:r>
    </w:p>
    <w:p>
      <w:pPr>
        <w:pStyle w:val="Heading2"/>
      </w:pPr>
      <w:r>
        <w:t>5. Soil Classification</w:t>
      </w:r>
    </w:p>
    <w:p>
      <w:r>
        <w:t>The competent person must classify the soil at each excavation site to determine the appropriate protective system. Soil classification is based on visual and manual tests and categorized as follows:</w:t>
      </w:r>
    </w:p>
    <w:p>
      <w:pPr>
        <w:pStyle w:val="ListBullet"/>
      </w:pPr>
      <w:r>
        <w:t>Type A (Stable Rock and Cohesive Soil): Unconfined compressive strength of 1.5 tsf (144 kPa) or greater. Examples: clay, silty clay, hardpan. Maximum allowable slope: 3/4H:1V (53 degrees). Note: No soil is Type A if fissured, subject to vibration, has been previously disturbed, or is part of a layered system where a less stable layer exists below;</w:t>
      </w:r>
    </w:p>
    <w:p>
      <w:pPr>
        <w:pStyle w:val="ListBullet"/>
      </w:pPr>
      <w:r>
        <w:t>Type B (Medium Cohesive Soil): Unconfined compressive strength between 0.5 and 1.5 tsf (48-144 kPa). Examples: angular gravel, silt, silt loam, previously disturbed soil that would otherwise be Type A. Maximum allowable slope: 1H:1V (45 degrees);</w:t>
      </w:r>
    </w:p>
    <w:p>
      <w:pPr>
        <w:pStyle w:val="ListBullet"/>
      </w:pPr>
      <w:r>
        <w:t>Type C (Granular and Submerged Soil): Unconfined compressive strength of 0.5 tsf (48 kPa) or less. Examples: sand, gravel, loamy sand, submerged soil, soil from which water is freely seeping. Maximum allowable slope: 1.5H:1V (34 degrees).</w:t>
      </w:r>
    </w:p>
    <w:p>
      <w:pPr>
        <w:pStyle w:val="Heading2"/>
      </w:pPr>
      <w:r>
        <w:t>6. Protective Systems</w:t>
      </w:r>
    </w:p>
    <w:p>
      <w:r>
        <w:t>Excavations deeper than 1.2 metres (4 feet) under OSHA or as required by O.Reg 213/91 must have a protective system in place before any worker enters. Protective systems include:</w:t>
      </w:r>
    </w:p>
    <w:p>
      <w:pPr>
        <w:pStyle w:val="Heading3"/>
      </w:pPr>
      <w:r>
        <w:t>6.1 Sloping</w:t>
      </w:r>
    </w:p>
    <w:p>
      <w:r>
        <w:t>Cutting back the sides of the excavation to an angle that is safe against sliding based on the soil classification. The maximum allowable slopes are specified in Section 5.</w:t>
      </w:r>
    </w:p>
    <w:p>
      <w:pPr>
        <w:pStyle w:val="Heading3"/>
      </w:pPr>
      <w:r>
        <w:t>6.2 Benching</w:t>
      </w:r>
    </w:p>
    <w:p>
      <w:r>
        <w:t>Forming horizontal steps (benches) in the sides of the excavation. Not permitted in Type C soil. Each bench must not exceed 1.2 metres (4 feet) in vertical height.</w:t>
      </w:r>
    </w:p>
    <w:p>
      <w:pPr>
        <w:pStyle w:val="Heading3"/>
      </w:pPr>
      <w:r>
        <w:t>6.3 Shoring</w:t>
      </w:r>
    </w:p>
    <w:p>
      <w:r>
        <w:t>Installing support structures (hydraulic, pneumatic, or timber shores) to prevent cave-in. Shoring systems must be designed in accordance with manufacturer's specifications or by a professional engineer.</w:t>
      </w:r>
    </w:p>
    <w:p>
      <w:pPr>
        <w:pStyle w:val="Heading3"/>
      </w:pPr>
      <w:r>
        <w:t>6.4 Shielding (Trench Boxes)</w:t>
      </w:r>
    </w:p>
    <w:p>
      <w:r>
        <w:t>Placing a pre-fabricated trench shield (trench box) in the excavation to protect workers. Trench boxes must be rated for the depth of the excavation and the soil type. Workers must remain within the shielded area at all times. For excavations deeper than 6 metres (20 feet), the protective system must be designed by a professional engineer.</w:t>
      </w:r>
    </w:p>
    <w:p>
      <w:pPr>
        <w:pStyle w:val="Heading2"/>
      </w:pPr>
      <w:r>
        <w:t>7. Daily Inspection</w:t>
      </w:r>
    </w:p>
    <w:p>
      <w:r>
        <w:t>The competent person must inspect the excavation, adjacent areas, and protective systems:</w:t>
      </w:r>
    </w:p>
    <w:p>
      <w:pPr>
        <w:pStyle w:val="ListBullet"/>
      </w:pPr>
      <w:r>
        <w:t>Before the start of each shift;</w:t>
      </w:r>
    </w:p>
    <w:p>
      <w:pPr>
        <w:pStyle w:val="ListBullet"/>
      </w:pPr>
      <w:r>
        <w:t>After any rain event, flooding, vibration (e.g., heavy equipment, blasting), or other event that could affect stability;</w:t>
      </w:r>
    </w:p>
    <w:p>
      <w:pPr>
        <w:pStyle w:val="ListBullet"/>
      </w:pPr>
      <w:r>
        <w:t>When conditions change (e.g., change in soil conditions, groundwater encountered);</w:t>
      </w:r>
    </w:p>
    <w:p>
      <w:pPr>
        <w:pStyle w:val="ListBullet"/>
      </w:pPr>
      <w:r>
        <w:t>Inspections must be documented on a daily excavation inspection checklist, including date, time, inspector name, conditions found, and corrective actions taken.</w:t>
      </w:r>
    </w:p>
    <w:p>
      <w:pPr>
        <w:pStyle w:val="Heading2"/>
      </w:pPr>
      <w:r>
        <w:t>8. Means of Entry and Exit</w:t>
      </w:r>
    </w:p>
    <w:p>
      <w:pPr>
        <w:pStyle w:val="ListBullet"/>
      </w:pPr>
      <w:r>
        <w:t>A ladder, stairway, ramp, or other safe means of egress must be provided in all excavations where workers are required to enter;</w:t>
      </w:r>
    </w:p>
    <w:p>
      <w:pPr>
        <w:pStyle w:val="ListBullet"/>
      </w:pPr>
      <w:r>
        <w:t>Ladders must be positioned so that no worker is more than 7.5 metres (25 feet) laterally from a means of egress;</w:t>
      </w:r>
    </w:p>
    <w:p>
      <w:pPr>
        <w:pStyle w:val="ListBullet"/>
      </w:pPr>
      <w:r>
        <w:t>Ladders must be secured at the top and extend at least 1 metre (3 feet) above the edge of the excavation;</w:t>
      </w:r>
    </w:p>
    <w:p>
      <w:pPr>
        <w:pStyle w:val="ListBullet"/>
      </w:pPr>
      <w:r>
        <w:t>Ramps used for access and egress must have cleats or other surface treatment to prevent slipping and must be structurally designed for the intended use.</w:t>
      </w:r>
    </w:p>
    <w:p>
      <w:pPr>
        <w:pStyle w:val="Heading2"/>
      </w:pPr>
      <w:r>
        <w:t>9. Water Accumulation</w:t>
      </w:r>
    </w:p>
    <w:p>
      <w:pPr>
        <w:pStyle w:val="ListBullet"/>
      </w:pPr>
      <w:r>
        <w:t>Workers must not enter an excavation where water has accumulated until precautions have been taken (pumping, diversion) and the competent person has inspected the excavation and confirmed it is safe;</w:t>
      </w:r>
    </w:p>
    <w:p>
      <w:pPr>
        <w:pStyle w:val="ListBullet"/>
      </w:pPr>
      <w:r>
        <w:t>Water removal equipment must be monitored continuously during operation;</w:t>
      </w:r>
    </w:p>
    <w:p>
      <w:pPr>
        <w:pStyle w:val="ListBullet"/>
      </w:pPr>
      <w:r>
        <w:t>If the excavation intersects the water table, continuous dewatering must be in operation and monitored;</w:t>
      </w:r>
    </w:p>
    <w:p>
      <w:pPr>
        <w:pStyle w:val="ListBullet"/>
      </w:pPr>
      <w:r>
        <w:t>Diversion ditches, dikes, or other means must be used to prevent surface water from entering the excavation.</w:t>
      </w:r>
    </w:p>
    <w:p>
      <w:pPr>
        <w:pStyle w:val="Heading2"/>
      </w:pPr>
      <w:r>
        <w:t>10. Spoil Pile Management</w:t>
      </w:r>
    </w:p>
    <w:p>
      <w:pPr>
        <w:pStyle w:val="ListBullet"/>
      </w:pPr>
      <w:r>
        <w:t>Excavated material (spoil) must be placed a minimum of 0.6 metres (2 feet) from the edge of the excavation to prevent material from rolling back into the trench;</w:t>
      </w:r>
    </w:p>
    <w:p>
      <w:pPr>
        <w:pStyle w:val="ListBullet"/>
      </w:pPr>
      <w:r>
        <w:t>Spoil piles must not block access to the excavation or impede emergency egress;</w:t>
      </w:r>
    </w:p>
    <w:p>
      <w:pPr>
        <w:pStyle w:val="ListBullet"/>
      </w:pPr>
      <w:r>
        <w:t>On sloped terrain, spoil must be placed on the uphill side where practical.</w:t>
      </w:r>
    </w:p>
    <w:p>
      <w:pPr>
        <w:pStyle w:val="Heading2"/>
      </w:pPr>
      <w:r>
        <w:t>11. Heavy Equipment</w:t>
      </w:r>
    </w:p>
    <w:p>
      <w:pPr>
        <w:pStyle w:val="ListBullet"/>
      </w:pPr>
      <w:r>
        <w:t>Heavy equipment must be set back from the edge of the excavation at a distance sufficient to prevent the added weight from causing a cave-in. The minimum setback is determined by the competent person based on soil type, depth, and equipment weight (minimum 0.6 metres / 2 feet);</w:t>
      </w:r>
    </w:p>
    <w:p>
      <w:pPr>
        <w:pStyle w:val="ListBullet"/>
      </w:pPr>
      <w:r>
        <w:t>Vibration from heavy equipment near the excavation must be considered in the stability assessment;</w:t>
      </w:r>
    </w:p>
    <w:p>
      <w:pPr>
        <w:pStyle w:val="ListBullet"/>
      </w:pPr>
      <w:r>
        <w:t>Stop logs, wheel chocks, or barricades must be used to prevent equipment from rolling into the excavation;</w:t>
      </w:r>
    </w:p>
    <w:p>
      <w:pPr>
        <w:pStyle w:val="ListBullet"/>
      </w:pPr>
      <w:r>
        <w:t>Equipment must not swing loads over workers in the excavation without overhead protection.</w:t>
      </w:r>
    </w:p>
    <w:p>
      <w:pPr>
        <w:pStyle w:val="Heading2"/>
      </w:pPr>
      <w:r>
        <w:t>12. Atmospheric Testing</w:t>
      </w:r>
    </w:p>
    <w:p>
      <w:r>
        <w:t>Atmospheric testing is required before entry when:</w:t>
      </w:r>
    </w:p>
    <w:p>
      <w:pPr>
        <w:pStyle w:val="ListBullet"/>
      </w:pPr>
      <w:r>
        <w:t>The excavation is deeper than 1.2 metres (4 feet) and there is a possibility of oxygen deficiency or a hazardous atmosphere (e.g., near landfills, gas lines, contaminated soil);</w:t>
      </w:r>
    </w:p>
    <w:p>
      <w:pPr>
        <w:pStyle w:val="ListBullet"/>
      </w:pPr>
      <w:r>
        <w:t>The competent person identifies conditions that could create a hazardous atmosphere;</w:t>
      </w:r>
    </w:p>
    <w:p>
      <w:pPr>
        <w:pStyle w:val="ListBullet"/>
      </w:pPr>
      <w:r>
        <w:t>Testing must follow the confined space procedures in the Confined Space Entry Policy (POLICY-028) if the excavation meets the definition of a confined space.</w:t>
      </w:r>
    </w:p>
    <w:p>
      <w:pPr>
        <w:pStyle w:val="Heading2"/>
      </w:pPr>
      <w:r>
        <w:t>13. Traffic Control</w:t>
      </w:r>
    </w:p>
    <w:p>
      <w:pPr>
        <w:pStyle w:val="ListBullet"/>
      </w:pPr>
      <w:r>
        <w:t>When excavations are adjacent to roadways or areas with vehicular traffic, barriers, signs, and flaggers must be used in accordance with the Ontario Traffic Manual Book 7 (Temporary Conditions) or MUTCD (in US jurisdictions);</w:t>
      </w:r>
    </w:p>
    <w:p>
      <w:pPr>
        <w:pStyle w:val="ListBullet"/>
      </w:pPr>
      <w:r>
        <w:t>Barriers must prevent vehicles from inadvertently driving into the excavation;</w:t>
      </w:r>
    </w:p>
    <w:p>
      <w:pPr>
        <w:pStyle w:val="ListBullet"/>
      </w:pPr>
      <w:r>
        <w:t>Signage must warn of the excavation and any lane closures or detours.</w:t>
      </w:r>
    </w:p>
    <w:p>
      <w:pPr>
        <w:pStyle w:val="Heading2"/>
      </w:pPr>
      <w:r>
        <w:t>14. Emergency Rescue</w:t>
      </w:r>
    </w:p>
    <w:p>
      <w:pPr>
        <w:pStyle w:val="ListBullet"/>
      </w:pPr>
      <w:r>
        <w:t>A rescue plan must be in place before workers enter any excavation deeper than 1.2 metres (4 feet);</w:t>
      </w:r>
    </w:p>
    <w:p>
      <w:pPr>
        <w:pStyle w:val="ListBullet"/>
      </w:pPr>
      <w:r>
        <w:t>Rescue and retrieval equipment (ladders, ropes, harnesses) must be readily available at the excavation site;</w:t>
      </w:r>
    </w:p>
    <w:p>
      <w:pPr>
        <w:pStyle w:val="ListBullet"/>
      </w:pPr>
      <w:r>
        <w:t>In the event of a cave-in: do NOT enter the excavation to attempt rescue. Immediately call 911 and the [COMPANY NAME] emergency contact. Mark the location of trapped workers for rescue teams;</w:t>
      </w:r>
    </w:p>
    <w:p>
      <w:pPr>
        <w:pStyle w:val="ListBullet"/>
      </w:pPr>
      <w:r>
        <w:t>All workers must be trained in emergency procedures, including how to summon help and their role in a rescue scenario.</w:t>
      </w:r>
    </w:p>
    <w:p>
      <w:pPr>
        <w:pStyle w:val="Heading2"/>
      </w:pPr>
      <w:r>
        <w:t>15. Training Requirements</w:t>
      </w:r>
    </w:p>
    <w:p>
      <w:pPr>
        <w:pStyle w:val="ListBullet"/>
      </w:pPr>
      <w:r>
        <w:t>All workers who enter or work adjacent to excavations must receive excavation safety training before beginning work;</w:t>
      </w:r>
    </w:p>
    <w:p>
      <w:pPr>
        <w:pStyle w:val="ListBullet"/>
      </w:pPr>
      <w:r>
        <w:t>Competent persons must have additional training in soil classification, protective system design and installation, hazard assessment, and inspection procedures;</w:t>
      </w:r>
    </w:p>
    <w:p>
      <w:pPr>
        <w:pStyle w:val="ListBullet"/>
      </w:pPr>
      <w:r>
        <w:t>Training must be refreshed annually and documented.</w:t>
      </w:r>
    </w:p>
    <w:p>
      <w:pPr>
        <w:pStyle w:val="Heading2"/>
      </w:pPr>
      <w:r>
        <w:t>16. Policy Review</w:t>
      </w:r>
    </w:p>
    <w:p>
      <w:r>
        <w:t>This policy shall be reviewed at least annually by the Health &amp; Safety Manager and VP, Human Resources, and updated as required.</w:t>
      </w:r>
    </w:p>
    <w:p>
      <w:pPr>
        <w:pStyle w:val="Heading2"/>
      </w:pPr>
      <w:r>
        <w:t>Approval</w:t>
      </w:r>
    </w:p>
    <w:tbl>
      <w:tblPr>
        <w:tblW w:type="auto" w:w="0"/>
        <w:jc w:val="left"/>
        <w:tblLook w:firstColumn="1" w:firstRow="1" w:lastColumn="0" w:lastRow="0" w:noHBand="0" w:noVBand="1" w:val="04A0"/>
      </w:tblPr>
      <w:tblGrid>
        <w:gridCol w:w="2880"/>
        <w:gridCol w:w="2880"/>
        <w:gridCol w:w="2880"/>
      </w:tblGrid>
      <w:tr>
        <w:tc>
          <w:tcPr>
            <w:tcW w:type="dxa" w:w="2880"/>
          </w:tcPr>
          <w:p>
            <w:r/>
            <w:r>
              <w:rPr>
                <w:rFonts w:ascii="Calibri" w:hAnsi="Calibri"/>
                <w:b/>
                <w:sz w:val="20"/>
              </w:rPr>
              <w:t>Role</w:t>
            </w:r>
          </w:p>
        </w:tc>
        <w:tc>
          <w:tcPr>
            <w:tcW w:type="dxa" w:w="2880"/>
          </w:tcPr>
          <w:p>
            <w:r/>
            <w:r>
              <w:rPr>
                <w:rFonts w:ascii="Calibri" w:hAnsi="Calibri"/>
                <w:b/>
                <w:sz w:val="20"/>
              </w:rPr>
              <w:t>Name</w:t>
            </w:r>
          </w:p>
        </w:tc>
        <w:tc>
          <w:tcPr>
            <w:tcW w:type="dxa" w:w="2880"/>
          </w:tcPr>
          <w:p>
            <w:r/>
            <w:r>
              <w:rPr>
                <w:rFonts w:ascii="Calibri" w:hAnsi="Calibri"/>
                <w:b/>
                <w:sz w:val="20"/>
              </w:rPr>
              <w:t>Signature / Date</w:t>
            </w:r>
          </w:p>
        </w:tc>
      </w:tr>
      <w:tr>
        <w:tc>
          <w:tcPr>
            <w:tcW w:type="dxa" w:w="2880"/>
          </w:tcPr>
          <w:p>
            <w:r>
              <w:rPr>
                <w:rFonts w:ascii="Calibri" w:hAnsi="Calibri"/>
                <w:sz w:val="20"/>
              </w:rPr>
              <w:t>President / CEO</w:t>
            </w:r>
          </w:p>
        </w:tc>
        <w:tc>
          <w:tcPr>
            <w:tcW w:type="dxa" w:w="2880"/>
          </w:tcPr>
          <w:p>
            <w:r>
              <w:rPr>
                <w:rFonts w:ascii="Calibri" w:hAnsi="Calibri"/>
                <w:sz w:val="20"/>
              </w:rPr>
              <w:t>________________________</w:t>
            </w:r>
          </w:p>
        </w:tc>
        <w:tc>
          <w:tcPr>
            <w:tcW w:type="dxa" w:w="2880"/>
          </w:tcPr>
          <w:p>
            <w:r>
              <w:rPr>
                <w:rFonts w:ascii="Calibri" w:hAnsi="Calibri"/>
                <w:sz w:val="20"/>
              </w:rPr>
              <w:t>________________________</w:t>
            </w:r>
          </w:p>
        </w:tc>
      </w:tr>
      <w:tr>
        <w:tc>
          <w:tcPr>
            <w:tcW w:type="dxa" w:w="2880"/>
          </w:tcPr>
          <w:p>
            <w:r>
              <w:rPr>
                <w:rFonts w:ascii="Calibri" w:hAnsi="Calibri"/>
                <w:sz w:val="20"/>
              </w:rPr>
              <w:t>VP, Human Resources</w:t>
            </w:r>
          </w:p>
        </w:tc>
        <w:tc>
          <w:tcPr>
            <w:tcW w:type="dxa" w:w="2880"/>
          </w:tcPr>
          <w:p>
            <w:r>
              <w:rPr>
                <w:rFonts w:ascii="Calibri" w:hAnsi="Calibri"/>
                <w:sz w:val="20"/>
              </w:rPr>
              <w:t>________________________</w:t>
            </w:r>
          </w:p>
        </w:tc>
        <w:tc>
          <w:tcPr>
            <w:tcW w:type="dxa" w:w="2880"/>
          </w:tcPr>
          <w:p>
            <w:r>
              <w:rPr>
                <w:rFonts w:ascii="Calibri" w:hAnsi="Calibri"/>
                <w:sz w:val="20"/>
              </w:rPr>
              <w:t>________________________</w:t>
            </w:r>
          </w:p>
        </w:tc>
      </w:tr>
      <w:tr>
        <w:tc>
          <w:tcPr>
            <w:tcW w:type="dxa" w:w="2880"/>
          </w:tcPr>
          <w:p>
            <w:r>
              <w:rPr>
                <w:rFonts w:ascii="Calibri" w:hAnsi="Calibri"/>
                <w:sz w:val="20"/>
              </w:rPr>
              <w:t>Legal Counsel</w:t>
            </w:r>
          </w:p>
        </w:tc>
        <w:tc>
          <w:tcPr>
            <w:tcW w:type="dxa" w:w="2880"/>
          </w:tcPr>
          <w:p>
            <w:r>
              <w:rPr>
                <w:rFonts w:ascii="Calibri" w:hAnsi="Calibri"/>
                <w:sz w:val="20"/>
              </w:rPr>
              <w:t>________________________</w:t>
            </w:r>
          </w:p>
        </w:tc>
        <w:tc>
          <w:tcPr>
            <w:tcW w:type="dxa" w:w="2880"/>
          </w:tcPr>
          <w:p>
            <w:r>
              <w:rPr>
                <w:rFonts w:ascii="Calibri" w:hAnsi="Calibri"/>
                <w:sz w:val="20"/>
              </w:rPr>
              <w:t>________________________</w:t>
            </w:r>
          </w:p>
        </w:tc>
      </w:tr>
    </w:tbl>
    <w:p>
      <w:pPr>
        <w:pStyle w:val="Heading2"/>
      </w:pPr>
      <w:r>
        <w:t>Employee Acknowledgment</w:t>
      </w:r>
    </w:p>
    <w:p>
      <w:r>
        <w:t>I, ________________________ (print name), acknowledge that I have received, read, and understood this Excavation &amp; Trenching Safety Policy. I agree to comply with the requirements and standards set out in this policy as a condition of my employment with [COMPANY NAME].</w:t>
      </w:r>
    </w:p>
    <w:p/>
    <w:tbl>
      <w:tblPr>
        <w:tblW w:type="auto" w:w="0"/>
        <w:jc w:val="left"/>
        <w:tblLook w:firstColumn="1" w:firstRow="1" w:lastColumn="0" w:lastRow="0" w:noHBand="0" w:noVBand="1" w:val="04A0"/>
      </w:tblPr>
      <w:tblGrid>
        <w:gridCol w:w="4320"/>
        <w:gridCol w:w="4320"/>
      </w:tblGrid>
      <w:tr>
        <w:tc>
          <w:tcPr>
            <w:tcW w:type="dxa" w:w="4320"/>
          </w:tcPr>
          <w:p>
            <w:r>
              <w:rPr>
                <w:rFonts w:ascii="Calibri" w:hAnsi="Calibri"/>
                <w:sz w:val="20"/>
              </w:rPr>
              <w:t>Employee Signature: _________________________</w:t>
            </w:r>
          </w:p>
        </w:tc>
        <w:tc>
          <w:tcPr>
            <w:tcW w:type="dxa" w:w="4320"/>
          </w:tcPr>
          <w:p>
            <w:r>
              <w:rPr>
                <w:rFonts w:ascii="Calibri" w:hAnsi="Calibri"/>
                <w:sz w:val="20"/>
              </w:rPr>
              <w:t>Date: ________________________</w:t>
            </w:r>
          </w:p>
        </w:tc>
      </w:tr>
      <w:tr>
        <w:tc>
          <w:tcPr>
            <w:tcW w:type="dxa" w:w="4320"/>
          </w:tcPr>
          <w:p>
            <w:r>
              <w:rPr>
                <w:rFonts w:ascii="Calibri" w:hAnsi="Calibri"/>
                <w:sz w:val="20"/>
              </w:rPr>
              <w:t>Employee Name (Print): ______________________</w:t>
            </w:r>
          </w:p>
        </w:tc>
        <w:tc>
          <w:tcPr>
            <w:tcW w:type="dxa" w:w="4320"/>
          </w:tcPr>
          <w:p>
            <w:r>
              <w:rPr>
                <w:rFonts w:ascii="Calibri" w:hAnsi="Calibri"/>
                <w:sz w:val="20"/>
              </w:rPr>
              <w:t>Employee ID: _________________</w:t>
            </w:r>
          </w:p>
        </w:tc>
      </w:tr>
      <w:tr>
        <w:tc>
          <w:tcPr>
            <w:tcW w:type="dxa" w:w="4320"/>
          </w:tcPr>
          <w:p>
            <w:r>
              <w:rPr>
                <w:rFonts w:ascii="Calibri" w:hAnsi="Calibri"/>
                <w:sz w:val="20"/>
              </w:rPr>
              <w:t>Department: _________________________________</w:t>
            </w:r>
          </w:p>
        </w:tc>
        <w:tc>
          <w:tcPr>
            <w:tcW w:type="dxa" w:w="4320"/>
          </w:tcPr>
          <w:p>
            <w:r>
              <w:rPr>
                <w:rFonts w:ascii="Calibri" w:hAnsi="Calibri"/>
                <w:sz w:val="20"/>
              </w:rPr>
              <w:t>Position: ____________________</w:t>
            </w:r>
          </w:p>
        </w:tc>
      </w:tr>
    </w:tbl>
    <w:p/>
    <w:p/>
    <w:p>
      <w:pPr>
        <w:jc w:val="center"/>
      </w:pPr>
      <w:r>
        <w:rPr>
          <w:rFonts w:ascii="Calibri" w:hAnsi="Calibri"/>
          <w:color w:val="666666"/>
          <w:sz w:val="18"/>
        </w:rPr>
        <w:t>Prepared by [COMPANY NAME] | Excavation &amp; Trenching Safety Policy |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A5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A5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3A5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333333"/>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