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[HEALTHCARE] -- [ONTARIO] -- [CNO/ISMP]</w:t>
      </w:r>
    </w:p>
    <w:p>
      <w:pPr>
        <w:pStyle w:val="Heading1"/>
      </w:pPr>
      <w:r>
        <w:t>Medication Handling &amp; Administration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[POLICY-023]</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Director of Nursing / VP, Human Resources</w:t>
            </w:r>
          </w:p>
        </w:tc>
      </w:tr>
    </w:tbl>
    <w:p/>
    <w:p>
      <w:pPr>
        <w:pStyle w:val="Heading2"/>
      </w:pPr>
      <w:r>
        <w:t>1. Purpose</w:t>
      </w:r>
    </w:p>
    <w:p>
      <w:r>
        <w:t>[COMPANY NAME] is committed to safe medication practices that minimize the risk of medication errors and adverse events. This policy establishes the standards for medication handling, administration, and error management in compliance with the College of Nurses of Ontario (CNO) Practice Standards, the Institute for Safe Medication Practices (ISMP) Canada recommendations, and applicable provincial and federal legislation including the Regulated Health Professions Act, 1991 (RHPA) and the Narcotics Safety and Awareness Act, 2010 (NSAA).</w:t>
      </w:r>
    </w:p>
    <w:p>
      <w:pPr>
        <w:pStyle w:val="Heading2"/>
      </w:pPr>
      <w:r>
        <w:t>2. Scope</w:t>
      </w:r>
    </w:p>
    <w:p>
      <w:r>
        <w:t>This policy applies to all regulated and unregulated healthcare providers involved in any aspect of medication management at [COMPANY NAME], including prescribing, dispensing, preparing, administering, monitoring, and documenting medications.</w:t>
      </w:r>
    </w:p>
    <w:p>
      <w:pPr>
        <w:pStyle w:val="Heading2"/>
      </w:pPr>
      <w:r>
        <w:t>3. The 7 Rights of Medication Administration</w:t>
      </w:r>
    </w:p>
    <w:p>
      <w:r>
        <w:t>Before every medication administration, the administering healthcare provider must verify:</w:t>
      </w:r>
    </w:p>
    <w:p>
      <w:pPr>
        <w:pStyle w:val="ListBullet"/>
      </w:pPr>
      <w:r>
        <w:t>Right Patient: Verify patient identity using a minimum of 2 patient identifiers (name and date of birth, or name and medical record number). Never use room number alone as an identifier;</w:t>
      </w:r>
    </w:p>
    <w:p>
      <w:pPr>
        <w:pStyle w:val="ListBullet"/>
      </w:pPr>
      <w:r>
        <w:t>Right Drug: Verify the medication name, checking for look-alike/sound-alike (LASA) confusion. Compare the medication label against the medication administration record (MAR) or order;</w:t>
      </w:r>
    </w:p>
    <w:p>
      <w:pPr>
        <w:pStyle w:val="ListBullet"/>
      </w:pPr>
      <w:r>
        <w:t>Right Dose: Verify the dose against the order, checking for unit of measure (mg vs mcg), concentration, and appropriateness for the patient's age, weight, and renal/hepatic function;</w:t>
      </w:r>
    </w:p>
    <w:p>
      <w:pPr>
        <w:pStyle w:val="ListBullet"/>
      </w:pPr>
      <w:r>
        <w:t>Right Route: Verify the route of administration (oral, IV, IM, SC, topical, etc.) against the order. If unclear, clarify with the prescriber before administration;</w:t>
      </w:r>
    </w:p>
    <w:p>
      <w:pPr>
        <w:pStyle w:val="ListBullet"/>
      </w:pPr>
      <w:r>
        <w:t>Right Time: Administer within 30 minutes before or after the scheduled time unless otherwise specified. Critical medications (antibiotics, anticoagulants, insulin) must be administered within the precise time ordered;</w:t>
      </w:r>
    </w:p>
    <w:p>
      <w:pPr>
        <w:pStyle w:val="ListBullet"/>
      </w:pPr>
      <w:r>
        <w:t>Right Reason: Understand the clinical indication for the medication. If the medication does not appear clinically appropriate, verify with the prescriber before administration;</w:t>
      </w:r>
    </w:p>
    <w:p>
      <w:pPr>
        <w:pStyle w:val="ListBullet"/>
      </w:pPr>
      <w:r>
        <w:t>Right Documentation: Document the medication administration immediately after it is given, including the drug name, dose, route, time, site (if applicable), and the patient's response. Never pre-chart medications.</w:t>
      </w:r>
    </w:p>
    <w:p>
      <w:pPr>
        <w:pStyle w:val="Heading2"/>
      </w:pPr>
      <w:r>
        <w:t>4. Medication Reconciliation</w:t>
      </w:r>
    </w:p>
    <w:p>
      <w:r>
        <w:t>Medication reconciliation must be completed at every transition of care to prevent medication discrepancies:</w:t>
      </w:r>
    </w:p>
    <w:p>
      <w:pPr>
        <w:pStyle w:val="ListBullet"/>
      </w:pPr>
      <w:r>
        <w:t>On Admission: Obtain and document a Best Possible Medication History (BPMH) including prescription medications, over-the-counter medications, herbal/natural products, and supplements. Compare the BPMH to admission orders and resolve discrepancies;</w:t>
      </w:r>
    </w:p>
    <w:p>
      <w:pPr>
        <w:pStyle w:val="ListBullet"/>
      </w:pPr>
      <w:r>
        <w:t>On Transfer: Compare the current medication orders to the transfer orders. Resolve discrepancies and communicate changes to the receiving care team;</w:t>
      </w:r>
    </w:p>
    <w:p>
      <w:pPr>
        <w:pStyle w:val="ListBullet"/>
      </w:pPr>
      <w:r>
        <w:t>On Discharge: Compare discharge medications to the admission medications and in-hospital medications. Provide the patient and/or caregiver with a clear, written list of all medications to continue, medications that have been changed, and medications that have been discontinued, with reasons.</w:t>
      </w:r>
    </w:p>
    <w:p>
      <w:pPr>
        <w:pStyle w:val="Heading2"/>
      </w:pPr>
      <w:r>
        <w:t>5. High-Alert Medications</w:t>
      </w:r>
    </w:p>
    <w:p>
      <w:r>
        <w:t>High-alert medications bear a heightened risk of causing significant patient harm when used in error. [COMPANY NAME] maintains a high-alert medication list based on ISMP Canada recommendations. At minimum, the following require an independent double-check before administration:</w:t>
      </w:r>
    </w:p>
    <w:p>
      <w:pPr>
        <w:pStyle w:val="ListBullet"/>
      </w:pPr>
      <w:r>
        <w:t>Insulin: All types and all routes. Independent double-check of type, dose, and concentration;</w:t>
      </w:r>
    </w:p>
    <w:p>
      <w:pPr>
        <w:pStyle w:val="ListBullet"/>
      </w:pPr>
      <w:r>
        <w:t>Anticoagulants: Heparin (IV and SC), warfarin, direct oral anticoagulants (DOACs). Verify dose against current lab values (INR, aPTT) and weight-based protocols;</w:t>
      </w:r>
    </w:p>
    <w:p>
      <w:pPr>
        <w:pStyle w:val="ListBullet"/>
      </w:pPr>
      <w:r>
        <w:t>Opioids: All opioids, particularly patient-controlled analgesia (PCA) and IV push. Independent double-check of drug, dose, concentration, pump settings (PCA), and patient allergy status;</w:t>
      </w:r>
    </w:p>
    <w:p>
      <w:pPr>
        <w:pStyle w:val="ListBullet"/>
      </w:pPr>
      <w:r>
        <w:t>Concentrated Electrolytes: Potassium chloride, sodium chloride &gt;0.9%, magnesium sulfate. Must not be stored as floor stock in concentrated form. Independent double-check of concentration and rate.</w:t>
      </w:r>
    </w:p>
    <w:p>
      <w:r>
        <w:t>An independent double-check requires two qualified healthcare providers independently verifying the medication, dose, route, and pump settings without influence from each other. Both must sign the MAR.</w:t>
      </w:r>
    </w:p>
    <w:p>
      <w:pPr>
        <w:pStyle w:val="Heading2"/>
      </w:pPr>
      <w:r>
        <w:t>6. Controlled Substances</w:t>
      </w:r>
    </w:p>
    <w:p>
      <w:pPr>
        <w:pStyle w:val="ListBullet"/>
      </w:pPr>
      <w:r>
        <w:t>Controlled substances (narcotics, controlled drugs, targeted substances) must be stored in a double-locked area (or automated dispensing cabinet with controlled substance functionality) with access limited to authorized personnel;</w:t>
      </w:r>
    </w:p>
    <w:p>
      <w:pPr>
        <w:pStyle w:val="ListBullet"/>
      </w:pPr>
      <w:r>
        <w:t>A controlled substance count must be performed at the beginning and end of each shift by two authorized staff members. Counts must balance. Any discrepancy must be reported immediately to the Charge Nurse and Pharmacy and investigated;</w:t>
      </w:r>
    </w:p>
    <w:p>
      <w:pPr>
        <w:pStyle w:val="ListBullet"/>
      </w:pPr>
      <w:r>
        <w:t>Each administration or wastage of a controlled substance must be documented in the controlled substance log with the date, time, patient name, drug, dose, amount administered, amount wasted, and signatures of the administering nurse and witness (for wastage);</w:t>
      </w:r>
    </w:p>
    <w:p>
      <w:pPr>
        <w:pStyle w:val="ListBullet"/>
      </w:pPr>
      <w:r>
        <w:t>Discrepancies that cannot be resolved within 24 hours must be reported to the Director of Nursing and may require reporting to the College of Nurses and/or law enforcement in accordance with the Narcotics Safety and Awareness Act, 2010.</w:t>
      </w:r>
    </w:p>
    <w:p>
      <w:pPr>
        <w:pStyle w:val="Heading2"/>
      </w:pPr>
      <w:r>
        <w:t>7. Medication Storage</w:t>
      </w:r>
    </w:p>
    <w:p>
      <w:pPr>
        <w:pStyle w:val="ListBullet"/>
      </w:pPr>
      <w:r>
        <w:t>Medications requiring refrigeration must be stored at 2-8 degrees Celsius. Freezer medications must be stored at -25 to -10 degrees Celsius. Temperature must be monitored and logged at least twice daily;</w:t>
      </w:r>
    </w:p>
    <w:p>
      <w:pPr>
        <w:pStyle w:val="ListBullet"/>
      </w:pPr>
      <w:r>
        <w:t>Medications must be stored in their original packaging with the label intact. Multi-dose vials must be labeled with the date of opening and discarded in accordance with manufacturer's recommendations or 28 days after opening, whichever is sooner;</w:t>
      </w:r>
    </w:p>
    <w:p>
      <w:pPr>
        <w:pStyle w:val="ListBullet"/>
      </w:pPr>
      <w:r>
        <w:t>Expired medications must be removed from stock during monthly medication storage area checks and returned to Pharmacy for disposal;</w:t>
      </w:r>
    </w:p>
    <w:p>
      <w:pPr>
        <w:pStyle w:val="ListBullet"/>
      </w:pPr>
      <w:r>
        <w:t>Look-alike/sound-alike (LASA) medications must be stored separately and identified with tall man lettering (e.g., hydrOXYzine vs hydrALAZINE);</w:t>
      </w:r>
    </w:p>
    <w:p>
      <w:pPr>
        <w:pStyle w:val="ListBullet"/>
      </w:pPr>
      <w:r>
        <w:t>Patient-own medications may only be used after identification and approval by Pharmacy.</w:t>
      </w:r>
    </w:p>
    <w:p>
      <w:pPr>
        <w:pStyle w:val="Heading2"/>
      </w:pPr>
      <w:r>
        <w:t>8. Verbal and Telephone Orders</w:t>
      </w:r>
    </w:p>
    <w:p>
      <w:pPr>
        <w:pStyle w:val="ListBullet"/>
      </w:pPr>
      <w:r>
        <w:t>Verbal orders should be limited to urgent situations where the prescriber cannot write or enter the order;</w:t>
      </w:r>
    </w:p>
    <w:p>
      <w:pPr>
        <w:pStyle w:val="ListBullet"/>
      </w:pPr>
      <w:r>
        <w:t>The receiving healthcare provider must write down the complete order, read it back to the prescriber (including the drug name spelled out, dose, route, and frequency), and receive confirmation from the prescriber;</w:t>
      </w:r>
    </w:p>
    <w:p>
      <w:pPr>
        <w:pStyle w:val="ListBullet"/>
      </w:pPr>
      <w:r>
        <w:t>The prescriber must authenticate (co-sign) the order within 24 hours;</w:t>
      </w:r>
    </w:p>
    <w:p>
      <w:pPr>
        <w:pStyle w:val="ListBullet"/>
      </w:pPr>
      <w:r>
        <w:t>"As needed" (PRN) orders received verbally must include the indication, dose, frequency, route, and maximum daily dose.</w:t>
      </w:r>
    </w:p>
    <w:p>
      <w:pPr>
        <w:pStyle w:val="Heading2"/>
      </w:pPr>
      <w:r>
        <w:t>9. Medication Errors</w:t>
      </w:r>
    </w:p>
    <w:p>
      <w:pPr>
        <w:pStyle w:val="Heading3"/>
      </w:pPr>
      <w:r>
        <w:t>9.1 Definition</w:t>
      </w:r>
    </w:p>
    <w:p>
      <w:r>
        <w:t>A medication error is any preventable event that may cause or lead to inappropriate medication use or patient harm while the medication is in the control of the healthcare provider, patient, or consumer. This includes errors of prescribing, transcribing, dispensing, administering, and monitoring.</w:t>
      </w:r>
    </w:p>
    <w:p>
      <w:pPr>
        <w:pStyle w:val="Heading3"/>
      </w:pPr>
      <w:r>
        <w:t>9.2 Immediate Response</w:t>
      </w:r>
    </w:p>
    <w:p>
      <w:pPr>
        <w:pStyle w:val="ListBullet"/>
      </w:pPr>
      <w:r>
        <w:t>Assess the patient for immediate clinical effects of the error;</w:t>
      </w:r>
    </w:p>
    <w:p>
      <w:pPr>
        <w:pStyle w:val="ListBullet"/>
      </w:pPr>
      <w:r>
        <w:t>Notify the prescriber and obtain appropriate orders for clinical management;</w:t>
      </w:r>
    </w:p>
    <w:p>
      <w:pPr>
        <w:pStyle w:val="ListBullet"/>
      </w:pPr>
      <w:r>
        <w:t>Complete an incident report within 24 hours. The report must describe the error, contributing factors, patient outcome, and actions taken;</w:t>
      </w:r>
    </w:p>
    <w:p>
      <w:pPr>
        <w:pStyle w:val="ListBullet"/>
      </w:pPr>
      <w:r>
        <w:t>Notify the patient and/or family as appropriate (disclosure of harm).</w:t>
      </w:r>
    </w:p>
    <w:p>
      <w:pPr>
        <w:pStyle w:val="Heading3"/>
      </w:pPr>
      <w:r>
        <w:t>9.3 Non-Punitive Approach</w:t>
      </w:r>
    </w:p>
    <w:p>
      <w:r>
        <w:t>[COMPANY NAME] maintains a non-punitive approach to medication error reporting. The focus is on identifying system factors that contributed to the error and implementing system improvements to prevent recurrence. Individual accountability applies only where there is evidence of willful misconduct, gross negligence, or impairment.</w:t>
      </w:r>
    </w:p>
    <w:p>
      <w:pPr>
        <w:pStyle w:val="Heading3"/>
      </w:pPr>
      <w:r>
        <w:t>9.4 Root Cause Analysis</w:t>
      </w:r>
    </w:p>
    <w:p>
      <w:r>
        <w:t>Medication errors resulting in patient harm or near-misses with potential for serious harm must undergo a root cause analysis (RCA) led by the Quality and Patient Safety team. Findings and recommendations must be communicated to relevant staff and tracked to completion.</w:t>
      </w:r>
    </w:p>
    <w:p>
      <w:pPr>
        <w:pStyle w:val="Heading2"/>
      </w:pPr>
      <w:r>
        <w:t>10. Look-Alike/Sound-Alike (LASA) Medications</w:t>
      </w:r>
    </w:p>
    <w:p>
      <w:pPr>
        <w:pStyle w:val="ListBullet"/>
      </w:pPr>
      <w:r>
        <w:t>LASA medications are identified using the ISMP Canada list and organizational experience with near-misses;</w:t>
      </w:r>
    </w:p>
    <w:p>
      <w:pPr>
        <w:pStyle w:val="ListBullet"/>
      </w:pPr>
      <w:r>
        <w:t>Tall man lettering must be used on labels, medication storage bins, and electronic systems (e.g., DOBUTamine vs DOPamine, predniSONE vs prednisoLONE);</w:t>
      </w:r>
    </w:p>
    <w:p>
      <w:pPr>
        <w:pStyle w:val="ListBullet"/>
      </w:pPr>
      <w:r>
        <w:t>LASA medications must be physically separated in storage areas;</w:t>
      </w:r>
    </w:p>
    <w:p>
      <w:pPr>
        <w:pStyle w:val="ListBullet"/>
      </w:pPr>
      <w:r>
        <w:t>LASA pairs must be highlighted during staff education and orientation.</w:t>
      </w:r>
    </w:p>
    <w:p>
      <w:pPr>
        <w:pStyle w:val="Heading2"/>
      </w:pPr>
      <w:r>
        <w:t>11. Patient Education</w:t>
      </w:r>
    </w:p>
    <w:p>
      <w:r>
        <w:t>Patients and/or their caregivers must be educated on:</w:t>
      </w:r>
    </w:p>
    <w:p>
      <w:pPr>
        <w:pStyle w:val="ListBullet"/>
      </w:pPr>
      <w:r>
        <w:t>The name and purpose of each medication;</w:t>
      </w:r>
    </w:p>
    <w:p>
      <w:pPr>
        <w:pStyle w:val="ListBullet"/>
      </w:pPr>
      <w:r>
        <w:t>How and when to take/administer the medication;</w:t>
      </w:r>
    </w:p>
    <w:p>
      <w:pPr>
        <w:pStyle w:val="ListBullet"/>
      </w:pPr>
      <w:r>
        <w:t>Expected side effects and adverse effects requiring medical attention;</w:t>
      </w:r>
    </w:p>
    <w:p>
      <w:pPr>
        <w:pStyle w:val="ListBullet"/>
      </w:pPr>
      <w:r>
        <w:t>Drug and food interactions;</w:t>
      </w:r>
    </w:p>
    <w:p>
      <w:pPr>
        <w:pStyle w:val="ListBullet"/>
      </w:pPr>
      <w:r>
        <w:t>Safe storage and disposal at home.</w:t>
      </w:r>
    </w:p>
    <w:p>
      <w:pPr>
        <w:pStyle w:val="Heading2"/>
      </w:pPr>
      <w:r>
        <w:t>12. Scope of Practice</w:t>
      </w:r>
    </w:p>
    <w:p>
      <w:r>
        <w:t>Medication administration is governed by scope of practice regulations under the RHPA:</w:t>
      </w:r>
    </w:p>
    <w:p>
      <w:pPr>
        <w:pStyle w:val="ListBullet"/>
      </w:pPr>
      <w:r>
        <w:t>Registered Nurses (RN): May administer medications by all routes as authorized by the CNO Practice Standard;</w:t>
      </w:r>
    </w:p>
    <w:p>
      <w:pPr>
        <w:pStyle w:val="ListBullet"/>
      </w:pPr>
      <w:r>
        <w:t>Registered Practical Nurses (RPN): May administer medications by most routes. Limitations apply to IV chemotherapy and certain high-risk IV medications as per CNO Practice Standard;</w:t>
      </w:r>
    </w:p>
    <w:p>
      <w:pPr>
        <w:pStyle w:val="ListBullet"/>
      </w:pPr>
      <w:r>
        <w:t>Personal Support Workers (PSW): May assist with self-administration of medications (e.g., reminding, opening containers, placing in the patient's hand) but may NOT administer medications. PSWs may perform specific delegated acts (e.g., administering pre-filled insulin pens) only under a formal delegation framework with documented competency assessment and appropriate supervision;</w:t>
      </w:r>
    </w:p>
    <w:p>
      <w:pPr>
        <w:pStyle w:val="ListBullet"/>
      </w:pPr>
      <w:r>
        <w:t>All medication administration must be within the individual's scope of practice, competency, and in accordance with a valid order.</w:t>
      </w:r>
    </w:p>
    <w:p>
      <w:pPr>
        <w:pStyle w:val="Heading2"/>
      </w:pPr>
      <w:r>
        <w:t>13. Policy Review</w:t>
      </w:r>
    </w:p>
    <w:p>
      <w:r>
        <w:t>This policy shall be reviewed at least annually by the Director of Nursing, Pharmacy, and VP, Human Resources, and updated as required.</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Medication Handling &amp; Administration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Medication Handling &amp; Administration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