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3A5C"/>
          <w:sz w:val="44"/>
        </w:rPr>
        <w:t>[COMPANY NAME]</w:t>
      </w:r>
    </w:p>
    <w:p>
      <w:r>
        <w:rPr>
          <w:rFonts w:ascii="Calibri" w:hAnsi="Calibri"/>
          <w:color w:val="666666"/>
          <w:sz w:val="22"/>
        </w:rPr>
        <w:t>[HEALTHCARE] -- [ONTARIO] -- [PHIPA/HIPAA]</w:t>
      </w:r>
    </w:p>
    <w:p>
      <w:pPr>
        <w:pStyle w:val="Heading1"/>
      </w:pPr>
      <w:r>
        <w:t>Patient Privacy &amp; Confidentiality Policy</w:t>
      </w:r>
    </w:p>
    <w:tbl>
      <w:tblPr>
        <w:tblW w:type="auto" w:w="0"/>
        <w:jc w:val="left"/>
        <w:tblLook w:firstColumn="1" w:firstRow="1" w:lastColumn="0" w:lastRow="0" w:noHBand="0" w:noVBand="1" w:val="04A0"/>
      </w:tblPr>
      <w:tblGrid>
        <w:gridCol w:w="4320"/>
        <w:gridCol w:w="4320"/>
      </w:tblGrid>
      <w:tr>
        <w:tc>
          <w:tcPr>
            <w:tcW w:type="dxa" w:w="4320"/>
          </w:tcPr>
          <w:p>
            <w:r/>
            <w:r>
              <w:rPr>
                <w:rFonts w:ascii="Calibri" w:hAnsi="Calibri"/>
                <w:b/>
                <w:sz w:val="20"/>
              </w:rPr>
              <w:t>Policy Number:</w:t>
            </w:r>
          </w:p>
        </w:tc>
        <w:tc>
          <w:tcPr>
            <w:tcW w:type="dxa" w:w="4320"/>
          </w:tcPr>
          <w:p>
            <w:r/>
            <w:r>
              <w:rPr>
                <w:rFonts w:ascii="Calibri" w:hAnsi="Calibri"/>
                <w:sz w:val="20"/>
              </w:rPr>
              <w:t>[POLICY-021]</w:t>
            </w:r>
          </w:p>
        </w:tc>
      </w:tr>
      <w:tr>
        <w:tc>
          <w:tcPr>
            <w:tcW w:type="dxa" w:w="4320"/>
          </w:tcPr>
          <w:p>
            <w:r/>
            <w:r>
              <w:rPr>
                <w:rFonts w:ascii="Calibri" w:hAnsi="Calibri"/>
                <w:b/>
                <w:sz w:val="20"/>
              </w:rPr>
              <w:t>Version:</w:t>
            </w:r>
          </w:p>
        </w:tc>
        <w:tc>
          <w:tcPr>
            <w:tcW w:type="dxa" w:w="4320"/>
          </w:tcPr>
          <w:p>
            <w:r/>
            <w:r>
              <w:rPr>
                <w:rFonts w:ascii="Calibri" w:hAnsi="Calibri"/>
                <w:sz w:val="20"/>
              </w:rPr>
              <w:t>[1.0]</w:t>
            </w:r>
          </w:p>
        </w:tc>
      </w:tr>
      <w:tr>
        <w:tc>
          <w:tcPr>
            <w:tcW w:type="dxa" w:w="4320"/>
          </w:tcPr>
          <w:p>
            <w:r/>
            <w:r>
              <w:rPr>
                <w:rFonts w:ascii="Calibri" w:hAnsi="Calibri"/>
                <w:b/>
                <w:sz w:val="20"/>
              </w:rPr>
              <w:t>Effective Date:</w:t>
            </w:r>
          </w:p>
        </w:tc>
        <w:tc>
          <w:tcPr>
            <w:tcW w:type="dxa" w:w="4320"/>
          </w:tcPr>
          <w:p>
            <w:r/>
            <w:r>
              <w:rPr>
                <w:rFonts w:ascii="Calibri" w:hAnsi="Calibri"/>
                <w:sz w:val="20"/>
              </w:rPr>
              <w:t>[EFFECTIVE DATE]</w:t>
            </w:r>
          </w:p>
        </w:tc>
      </w:tr>
      <w:tr>
        <w:tc>
          <w:tcPr>
            <w:tcW w:type="dxa" w:w="4320"/>
          </w:tcPr>
          <w:p>
            <w:r/>
            <w:r>
              <w:rPr>
                <w:rFonts w:ascii="Calibri" w:hAnsi="Calibri"/>
                <w:b/>
                <w:sz w:val="20"/>
              </w:rPr>
              <w:t>Last Reviewed:</w:t>
            </w:r>
          </w:p>
        </w:tc>
        <w:tc>
          <w:tcPr>
            <w:tcW w:type="dxa" w:w="4320"/>
          </w:tcPr>
          <w:p>
            <w:r/>
            <w:r>
              <w:rPr>
                <w:rFonts w:ascii="Calibri" w:hAnsi="Calibri"/>
                <w:sz w:val="20"/>
              </w:rPr>
              <w:t>[REVIEW DATE]</w:t>
            </w:r>
          </w:p>
        </w:tc>
      </w:tr>
      <w:tr>
        <w:tc>
          <w:tcPr>
            <w:tcW w:type="dxa" w:w="4320"/>
          </w:tcPr>
          <w:p>
            <w:r/>
            <w:r>
              <w:rPr>
                <w:rFonts w:ascii="Calibri" w:hAnsi="Calibri"/>
                <w:b/>
                <w:sz w:val="20"/>
              </w:rPr>
              <w:t>Policy Owner:</w:t>
            </w:r>
          </w:p>
        </w:tc>
        <w:tc>
          <w:tcPr>
            <w:tcW w:type="dxa" w:w="4320"/>
          </w:tcPr>
          <w:p>
            <w:r/>
            <w:r>
              <w:rPr>
                <w:rFonts w:ascii="Calibri" w:hAnsi="Calibri"/>
                <w:sz w:val="20"/>
              </w:rPr>
              <w:t>Privacy Officer / VP, Human Resources</w:t>
            </w:r>
          </w:p>
        </w:tc>
      </w:tr>
    </w:tbl>
    <w:p/>
    <w:p>
      <w:pPr>
        <w:pStyle w:val="Heading2"/>
      </w:pPr>
      <w:r>
        <w:t>1. Purpose</w:t>
      </w:r>
    </w:p>
    <w:p>
      <w:r>
        <w:t>[COMPANY NAME] is committed to protecting the privacy and confidentiality of personal health information (PHI) entrusted to us by patients, residents, and clients. This policy establishes the obligations of all workforce members regarding the collection, use, disclosure, retention, and disposal of PHI in compliance with the Personal Health Information Protection Act, 2004 (PHIPA) in Ontario and the Health Insurance Portability and Accountability Act (HIPAA) Privacy Rule (45 CFR Part 164) in applicable United States jurisdictions.</w:t>
      </w:r>
    </w:p>
    <w:p>
      <w:pPr>
        <w:pStyle w:val="Heading2"/>
      </w:pPr>
      <w:r>
        <w:t>2. Scope</w:t>
      </w:r>
    </w:p>
    <w:p>
      <w:r>
        <w:t>This policy applies to all employees, contractors, students, volunteers, physicians, and any other individual who accesses, collects, uses, or discloses PHI on behalf of [COMPANY NAME]. It applies to PHI in all formats: oral, written, and electronic.</w:t>
      </w:r>
    </w:p>
    <w:p>
      <w:pPr>
        <w:pStyle w:val="Heading2"/>
      </w:pPr>
      <w:r>
        <w:t>3. Definitions</w:t>
      </w:r>
    </w:p>
    <w:p>
      <w:pPr>
        <w:pStyle w:val="ListBullet"/>
      </w:pPr>
      <w:r>
        <w:t>Personal Health Information (PHI): Information that identifies an individual and relates to their physical or mental health, the provision of health care, a plan of service, payments or eligibility for health care, the individual's health number, or the identity of a substitute decision-maker (PHIPA s. 4).</w:t>
      </w:r>
    </w:p>
    <w:p>
      <w:pPr>
        <w:pStyle w:val="ListBullet"/>
      </w:pPr>
      <w:r>
        <w:t>Circle of Care: The group of health information custodians and their agents who are providing or assisting in providing health care to an individual. Under PHIPA s. 18(1), PHI may be shared within the circle of care for the purpose of providing health care without express consent, provided the individual has not expressly withheld or withdrawn consent.</w:t>
      </w:r>
    </w:p>
    <w:p>
      <w:pPr>
        <w:pStyle w:val="ListBullet"/>
      </w:pPr>
      <w:r>
        <w:t>Health Information Custodian (HIC): A person or organization identified in PHIPA s. 3(1) who has custody or control of PHI as a result of their powers or duties, including health care practitioners, hospitals, long-term care homes, and pharmacies.</w:t>
      </w:r>
    </w:p>
    <w:p>
      <w:pPr>
        <w:pStyle w:val="ListBullet"/>
      </w:pPr>
      <w:r>
        <w:t>Minimum Necessary Principle: The requirement to limit the use, disclosure, and request of PHI to the minimum amount necessary to accomplish the intended purpose (HIPAA 45 CFR 164.502(b); PHIPA s. 30).</w:t>
      </w:r>
    </w:p>
    <w:p>
      <w:pPr>
        <w:pStyle w:val="ListBullet"/>
      </w:pPr>
      <w:r>
        <w:t>Electronic Protected Health Information (ePHI): PHI that is created, stored, transmitted, or received in electronic form.</w:t>
      </w:r>
    </w:p>
    <w:p>
      <w:pPr>
        <w:pStyle w:val="ListBullet"/>
      </w:pPr>
      <w:r>
        <w:t>Agent: A person authorized to act on behalf of a health information custodian for purposes of PHIPA (s. 17).</w:t>
      </w:r>
    </w:p>
    <w:p>
      <w:pPr>
        <w:pStyle w:val="ListBullet"/>
      </w:pPr>
      <w:r>
        <w:t>Breach: The unauthorized collection, use, disclosure, retention, or disposal of PHI, or the theft, loss, or unauthorized copying, modification, or disposal of a record of PHI.</w:t>
      </w:r>
    </w:p>
    <w:p>
      <w:pPr>
        <w:pStyle w:val="Heading2"/>
      </w:pPr>
      <w:r>
        <w:t>4. General Principles</w:t>
      </w:r>
    </w:p>
    <w:p>
      <w:pPr>
        <w:pStyle w:val="ListBullet"/>
      </w:pPr>
      <w:r>
        <w:t>PHI shall be collected, used, and disclosed only as permitted or required by PHIPA or HIPAA and only for the purposes identified at the time of collection or as authorized by law.</w:t>
      </w:r>
    </w:p>
    <w:p>
      <w:pPr>
        <w:pStyle w:val="ListBullet"/>
      </w:pPr>
      <w:r>
        <w:t>All workforce members must apply the minimum necessary principle when accessing, using, or disclosing PHI. Access only the information you need to perform your job duties.</w:t>
      </w:r>
    </w:p>
    <w:p>
      <w:pPr>
        <w:pStyle w:val="ListBullet"/>
      </w:pPr>
      <w:r>
        <w:t>Implied consent within the circle of care applies only when the individual has not expressly withheld or withdrawn consent and the purpose is providing or assisting in providing health care.</w:t>
      </w:r>
    </w:p>
    <w:p>
      <w:pPr>
        <w:pStyle w:val="ListBullet"/>
      </w:pPr>
      <w:r>
        <w:t>PHI must be kept accurate, complete, and up to date to the extent necessary for the purposes for which it is used.</w:t>
      </w:r>
    </w:p>
    <w:p>
      <w:pPr>
        <w:pStyle w:val="Heading2"/>
      </w:pPr>
      <w:r>
        <w:t>5. Collection of PHI</w:t>
      </w:r>
    </w:p>
    <w:p>
      <w:r>
        <w:t>PHI shall be collected directly from the individual unless:</w:t>
      </w:r>
    </w:p>
    <w:p>
      <w:pPr>
        <w:pStyle w:val="ListBullet"/>
      </w:pPr>
      <w:r>
        <w:t>The individual authorizes collection from another source;</w:t>
      </w:r>
    </w:p>
    <w:p>
      <w:pPr>
        <w:pStyle w:val="ListBullet"/>
      </w:pPr>
      <w:r>
        <w:t>Collection is necessary for the provision of health care and it is not reasonably possible to collect directly from the individual;</w:t>
      </w:r>
    </w:p>
    <w:p>
      <w:pPr>
        <w:pStyle w:val="ListBullet"/>
      </w:pPr>
      <w:r>
        <w:t>Collection from another source is permitted or required by law (PHIPA s. 36).</w:t>
      </w:r>
    </w:p>
    <w:p>
      <w:r>
        <w:t>At or before the time of collection, the individual must be informed of the purposes for which the information is being collected, unless the collection is within the circle of care for the purpose of providing health care.</w:t>
      </w:r>
    </w:p>
    <w:p>
      <w:pPr>
        <w:pStyle w:val="Heading2"/>
      </w:pPr>
      <w:r>
        <w:t>6. Use and Disclosure of PHI</w:t>
      </w:r>
    </w:p>
    <w:p>
      <w:pPr>
        <w:pStyle w:val="Heading3"/>
      </w:pPr>
      <w:r>
        <w:t>6.1 Within the Circle of Care</w:t>
      </w:r>
    </w:p>
    <w:p>
      <w:r>
        <w:t>PHI may be used and disclosed within the circle of care for the purpose of providing or assisting in the provision of health care to the individual, provided the individual has not expressly withheld or withdrawn consent (PHIPA s. 18). All circle of care disclosures must still comply with the minimum necessary principle.</w:t>
      </w:r>
    </w:p>
    <w:p>
      <w:pPr>
        <w:pStyle w:val="Heading3"/>
      </w:pPr>
      <w:r>
        <w:t>6.2 With Consent</w:t>
      </w:r>
    </w:p>
    <w:p>
      <w:r>
        <w:t>Outside the circle of care, PHI may only be disclosed with the individual's written, informed consent. The consent must specify the information to be disclosed, the recipient, the purpose, and an expiry date. The individual may withdraw consent at any time (PHIPA s. 18(1)(a)).</w:t>
      </w:r>
    </w:p>
    <w:p>
      <w:pPr>
        <w:pStyle w:val="Heading3"/>
      </w:pPr>
      <w:r>
        <w:t>6.3 Without Consent (Permitted Disclosures)</w:t>
      </w:r>
    </w:p>
    <w:p>
      <w:r>
        <w:t>PHI may be disclosed without consent only in circumstances expressly permitted by PHIPA or HIPAA, including but not limited to:</w:t>
      </w:r>
    </w:p>
    <w:p>
      <w:pPr>
        <w:pStyle w:val="ListBullet"/>
      </w:pPr>
      <w:r>
        <w:t>As required by law, court order, or subpoena (PHIPA s. 40(1));</w:t>
      </w:r>
    </w:p>
    <w:p>
      <w:pPr>
        <w:pStyle w:val="ListBullet"/>
      </w:pPr>
      <w:r>
        <w:t>To eliminate or reduce a significant risk of serious bodily harm to a person or group (PHIPA s. 40(1));</w:t>
      </w:r>
    </w:p>
    <w:p>
      <w:pPr>
        <w:pStyle w:val="ListBullet"/>
      </w:pPr>
      <w:r>
        <w:t>To a regulatory college for the purpose of administering a health profession (PHIPA s. 40(1));</w:t>
      </w:r>
    </w:p>
    <w:p>
      <w:pPr>
        <w:pStyle w:val="ListBullet"/>
      </w:pPr>
      <w:r>
        <w:t>For research purposes approved by a research ethics board under conditions specified in PHIPA s. 44;</w:t>
      </w:r>
    </w:p>
    <w:p>
      <w:pPr>
        <w:pStyle w:val="ListBullet"/>
      </w:pPr>
      <w:r>
        <w:t>To the Information and Privacy Commissioner of Ontario (IPC) in response to an investigation or review.</w:t>
      </w:r>
    </w:p>
    <w:p>
      <w:pPr>
        <w:pStyle w:val="Heading2"/>
      </w:pPr>
      <w:r>
        <w:t>7. Verbal Disclosures</w:t>
      </w:r>
    </w:p>
    <w:p>
      <w:r>
        <w:t>Workforce members must exercise caution to prevent incidental disclosures of PHI in verbal communications:</w:t>
      </w:r>
    </w:p>
    <w:p>
      <w:pPr>
        <w:pStyle w:val="ListBullet"/>
      </w:pPr>
      <w:r>
        <w:t>Do not discuss patient information in public areas including hallways, elevators, waiting rooms, cafeterias, or parking lots;</w:t>
      </w:r>
    </w:p>
    <w:p>
      <w:pPr>
        <w:pStyle w:val="ListBullet"/>
      </w:pPr>
      <w:r>
        <w:t>When discussing PHI by telephone, verify the identity of the caller before releasing information. Use a private area and lower your voice;</w:t>
      </w:r>
    </w:p>
    <w:p>
      <w:pPr>
        <w:pStyle w:val="ListBullet"/>
      </w:pPr>
      <w:r>
        <w:t>During clinical handoffs or rounds, limit discussion to information necessary for care and ensure unauthorized persons are not within earshot;</w:t>
      </w:r>
    </w:p>
    <w:p>
      <w:pPr>
        <w:pStyle w:val="ListBullet"/>
      </w:pPr>
      <w:r>
        <w:t>Never leave PHI on voicemail unless the individual has consented to this form of communication and the minimum amount of information is left.</w:t>
      </w:r>
    </w:p>
    <w:p>
      <w:pPr>
        <w:pStyle w:val="Heading2"/>
      </w:pPr>
      <w:r>
        <w:t>8. Electronic PHI (ePHI) Safeguards</w:t>
      </w:r>
    </w:p>
    <w:p>
      <w:pPr>
        <w:pStyle w:val="ListBullet"/>
      </w:pPr>
      <w:r>
        <w:t>Electronic medical records (EMR) systems must use role-based access controls. Access is granted based on job function and reviewed at least quarterly;</w:t>
      </w:r>
    </w:p>
    <w:p>
      <w:pPr>
        <w:pStyle w:val="ListBullet"/>
      </w:pPr>
      <w:r>
        <w:t>All ePHI at rest must be encrypted using AES-256 or equivalent. All ePHI in transit must be encrypted using TLS 1.2 or higher;</w:t>
      </w:r>
    </w:p>
    <w:p>
      <w:pPr>
        <w:pStyle w:val="ListBullet"/>
      </w:pPr>
      <w:r>
        <w:t>Audit trails must be enabled on all systems containing ePHI. Logs must capture user identity, date/time, record accessed, and action taken. Audit logs must be reviewed at minimum monthly;</w:t>
      </w:r>
    </w:p>
    <w:p>
      <w:pPr>
        <w:pStyle w:val="ListBullet"/>
      </w:pPr>
      <w:r>
        <w:t>Workstations and mobile devices must auto-lock after a maximum of 5 minutes of inactivity. Users must manually lock screens when stepping away;</w:t>
      </w:r>
    </w:p>
    <w:p>
      <w:pPr>
        <w:pStyle w:val="ListBullet"/>
      </w:pPr>
      <w:r>
        <w:t>Removable media (USB drives, external hard drives) must not be used to store or transfer ePHI unless encrypted and authorized by the Privacy Officer;</w:t>
      </w:r>
    </w:p>
    <w:p>
      <w:pPr>
        <w:pStyle w:val="ListBullet"/>
      </w:pPr>
      <w:r>
        <w:t>Multi-factor authentication (MFA) is required for remote access to systems containing ePHI.</w:t>
      </w:r>
    </w:p>
    <w:p>
      <w:pPr>
        <w:pStyle w:val="Heading2"/>
      </w:pPr>
      <w:r>
        <w:t>9. Social Media and PHI</w:t>
      </w:r>
    </w:p>
    <w:p>
      <w:r>
        <w:t>[COMPANY NAME] strictly prohibits the posting, sharing, or discussion of any PHI on social media platforms, personal or professional. This includes but is not limited to:</w:t>
      </w:r>
    </w:p>
    <w:p>
      <w:pPr>
        <w:pStyle w:val="ListBullet"/>
      </w:pPr>
      <w:r>
        <w:t>Patient names, photos, videos, or any identifiable information, even if the patient consents verbally (written organizational approval is also required);</w:t>
      </w:r>
    </w:p>
    <w:p>
      <w:pPr>
        <w:pStyle w:val="ListBullet"/>
      </w:pPr>
      <w:r>
        <w:t>Descriptions of patient cases in sufficient detail that the individual could be identified, even without naming them;</w:t>
      </w:r>
    </w:p>
    <w:p>
      <w:pPr>
        <w:pStyle w:val="ListBullet"/>
      </w:pPr>
      <w:r>
        <w:t>Photos of charts, screens, lab results, medication administration records, or any document containing PHI;</w:t>
      </w:r>
    </w:p>
    <w:p>
      <w:pPr>
        <w:pStyle w:val="ListBullet"/>
      </w:pPr>
      <w:r>
        <w:t>Discussion of patients in private groups, messaging apps, or closed forums.</w:t>
      </w:r>
    </w:p>
    <w:p>
      <w:r>
        <w:t>Violation of this section constitutes grounds for immediate termination and may result in regulatory and criminal penalties.</w:t>
      </w:r>
    </w:p>
    <w:p>
      <w:pPr>
        <w:pStyle w:val="Heading2"/>
      </w:pPr>
      <w:r>
        <w:t>10. Fax and Email Communications</w:t>
      </w:r>
    </w:p>
    <w:p>
      <w:pPr>
        <w:pStyle w:val="ListBullet"/>
      </w:pPr>
      <w:r>
        <w:t>Faxes containing PHI must be sent to verified, pre-programmed numbers. A cover sheet with a confidentiality notice must be used. The sender must confirm receipt with the intended recipient;</w:t>
      </w:r>
    </w:p>
    <w:p>
      <w:pPr>
        <w:pStyle w:val="ListBullet"/>
      </w:pPr>
      <w:r>
        <w:t>PHI must not be transmitted via unencrypted email. If email is necessary, PHI must be sent as an encrypted attachment or via an approved secure messaging platform;</w:t>
      </w:r>
    </w:p>
    <w:p>
      <w:pPr>
        <w:pStyle w:val="ListBullet"/>
      </w:pPr>
      <w:r>
        <w:t>Misdirected faxes or emails containing PHI must be reported to the Privacy Officer immediately as a potential breach.</w:t>
      </w:r>
    </w:p>
    <w:p>
      <w:pPr>
        <w:pStyle w:val="Heading2"/>
      </w:pPr>
      <w:r>
        <w:t>11. Release of Information</w:t>
      </w:r>
    </w:p>
    <w:p>
      <w:pPr>
        <w:pStyle w:val="Heading3"/>
      </w:pPr>
      <w:r>
        <w:t>11.1 Written Consent</w:t>
      </w:r>
    </w:p>
    <w:p>
      <w:r>
        <w:t>Requests for release of PHI from the individual or their authorized representative must be accompanied by a signed authorization form specifying the information requested, the purpose, the recipient, and an expiry date. [COMPANY NAME] must respond within 30 days (PHIPA s. 54(3)).</w:t>
      </w:r>
    </w:p>
    <w:p>
      <w:pPr>
        <w:pStyle w:val="Heading3"/>
      </w:pPr>
      <w:r>
        <w:t>11.2 Legal Requests</w:t>
      </w:r>
    </w:p>
    <w:p>
      <w:r>
        <w:t>Requests from law enforcement, legal counsel, or other parties must be reviewed by the Privacy Officer and/or Legal Counsel before any disclosure. A valid court order, subpoena, or other lawful authority must be provided. Only the minimum information required by the legal instrument shall be disclosed.</w:t>
      </w:r>
    </w:p>
    <w:p>
      <w:pPr>
        <w:pStyle w:val="Heading2"/>
      </w:pPr>
      <w:r>
        <w:t>12. Privacy Breach Identification and Response</w:t>
      </w:r>
    </w:p>
    <w:p>
      <w:pPr>
        <w:pStyle w:val="Heading3"/>
      </w:pPr>
      <w:r>
        <w:t>12.1 Identification</w:t>
      </w:r>
    </w:p>
    <w:p>
      <w:r>
        <w:t>A privacy breach occurs when PHI is collected, used, disclosed, retained, or disposed of in contravention of PHIPA or HIPAA, or when a record of PHI is stolen, lost, or subject to unauthorized access, copying, modification, or disposal.</w:t>
      </w:r>
    </w:p>
    <w:p>
      <w:pPr>
        <w:pStyle w:val="Heading3"/>
      </w:pPr>
      <w:r>
        <w:t>12.2 Immediate Response</w:t>
      </w:r>
    </w:p>
    <w:p>
      <w:pPr>
        <w:pStyle w:val="ListBullet"/>
      </w:pPr>
      <w:r>
        <w:t>Contain the breach: Retrieve records, revoke access, shut down systems as necessary;</w:t>
      </w:r>
    </w:p>
    <w:p>
      <w:pPr>
        <w:pStyle w:val="ListBullet"/>
      </w:pPr>
      <w:r>
        <w:t>Notify the Privacy Officer immediately (within 1 hour of discovery);</w:t>
      </w:r>
    </w:p>
    <w:p>
      <w:pPr>
        <w:pStyle w:val="ListBullet"/>
      </w:pPr>
      <w:r>
        <w:t>Document the breach: what information was involved, how many individuals affected, how the breach occurred, what containment measures were taken.</w:t>
      </w:r>
    </w:p>
    <w:p>
      <w:pPr>
        <w:pStyle w:val="Heading3"/>
      </w:pPr>
      <w:r>
        <w:t>12.3 Mandatory Reporting</w:t>
      </w:r>
    </w:p>
    <w:p>
      <w:r>
        <w:t>Under PHIPA (s. 12(2)), health information custodians must notify the Information and Privacy Commissioner of Ontario (IPC) at the first reasonable opportunity if PHI is stolen, lost, or accessed by unauthorized persons. Under HIPAA, covered entities must report breaches affecting 500 or more individuals to the U.S. Department of Health and Human Services (HHS) within 60 days and to affected individuals without unreasonable delay.</w:t>
      </w:r>
    </w:p>
    <w:p>
      <w:pPr>
        <w:pStyle w:val="Heading3"/>
      </w:pPr>
      <w:r>
        <w:t>12.4 Notification to Affected Individuals</w:t>
      </w:r>
    </w:p>
    <w:p>
      <w:r>
        <w:t>Affected individuals must be notified at the first reasonable opportunity. Notification must include a description of the breach, the PHI involved, measures taken by [COMPANY NAME] to reduce harm, and recommendations for the individual to mitigate risk.</w:t>
      </w:r>
    </w:p>
    <w:p>
      <w:pPr>
        <w:pStyle w:val="Heading2"/>
      </w:pPr>
      <w:r>
        <w:t>13. Consequences of Non-Compliance</w:t>
      </w:r>
    </w:p>
    <w:p>
      <w:r>
        <w:t>Violations of this policy may result in disciplinary action up to and including immediate termination of employment. In addition:</w:t>
      </w:r>
    </w:p>
    <w:p>
      <w:pPr>
        <w:pStyle w:val="ListBullet"/>
      </w:pPr>
      <w:r>
        <w:t>Under PHIPA, individuals may face fines of up to $200,000 (individuals) or $1,000,000 (organizations) for offences under s. 72;</w:t>
      </w:r>
    </w:p>
    <w:p>
      <w:pPr>
        <w:pStyle w:val="ListBullet"/>
      </w:pPr>
      <w:r>
        <w:t>Under HIPAA, civil penalties range from $100 to $50,000 per violation, with annual maximums of $1,500,000 per identical provision. Criminal penalties include fines up to $250,000 and imprisonment up to 10 years for knowingly obtaining or disclosing PHI;</w:t>
      </w:r>
    </w:p>
    <w:p>
      <w:pPr>
        <w:pStyle w:val="ListBullet"/>
      </w:pPr>
      <w:r>
        <w:t>Individuals may also face complaints and disciplinary action from their professional regulatory college.</w:t>
      </w:r>
    </w:p>
    <w:p>
      <w:pPr>
        <w:pStyle w:val="Heading2"/>
      </w:pPr>
      <w:r>
        <w:t>14. Training Requirements</w:t>
      </w:r>
    </w:p>
    <w:p>
      <w:pPr>
        <w:pStyle w:val="ListBullet"/>
      </w:pPr>
      <w:r>
        <w:t>All workforce members must complete privacy and confidentiality training within 5 business days of commencing employment or engagement;</w:t>
      </w:r>
    </w:p>
    <w:p>
      <w:pPr>
        <w:pStyle w:val="ListBullet"/>
      </w:pPr>
      <w:r>
        <w:t>Annual refresher training is mandatory for all workforce members;</w:t>
      </w:r>
    </w:p>
    <w:p>
      <w:pPr>
        <w:pStyle w:val="ListBullet"/>
      </w:pPr>
      <w:r>
        <w:t>Additional targeted training is required following any privacy breach or when changes to privacy legislation or organizational practices occur;</w:t>
      </w:r>
    </w:p>
    <w:p>
      <w:pPr>
        <w:pStyle w:val="ListBullet"/>
      </w:pPr>
      <w:r>
        <w:t>Training completion must be documented and retained in the employee's personnel file.</w:t>
      </w:r>
    </w:p>
    <w:p>
      <w:pPr>
        <w:pStyle w:val="Heading2"/>
      </w:pPr>
      <w:r>
        <w:t>15. Policy Review</w:t>
      </w:r>
    </w:p>
    <w:p>
      <w:r>
        <w:t>This policy shall be reviewed at least annually by the Privacy Officer and VP, Human Resources, and updated as required to reflect changes in legislation, best practices, or organizational operations.</w:t>
      </w:r>
    </w:p>
    <w:p>
      <w:pPr>
        <w:pStyle w:val="Heading2"/>
      </w:pPr>
      <w:r>
        <w:t>Approval</w:t>
      </w:r>
    </w:p>
    <w:tbl>
      <w:tblPr>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rPr>
                <w:rFonts w:ascii="Calibri" w:hAnsi="Calibri"/>
                <w:sz w:val="20"/>
              </w:rPr>
              <w:t>President / CEO</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VP, Human Resources</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Legal Counsel</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bl>
    <w:p>
      <w:pPr>
        <w:pStyle w:val="Heading2"/>
      </w:pPr>
      <w:r>
        <w:t>Employee Acknowledgment</w:t>
      </w:r>
    </w:p>
    <w:p>
      <w:r>
        <w:t>I, ________________________ (print name), acknowledge that I have received, read, and understood this Patient Privacy &amp; Confidentiality Policy. I agree to comply with the requirements and standards set out in this policy as a condition of my employment with [COMPANY NAME].</w:t>
      </w:r>
    </w:p>
    <w:p/>
    <w:tbl>
      <w:tblPr>
        <w:tblW w:type="auto" w:w="0"/>
        <w:jc w:val="left"/>
        <w:tblLook w:firstColumn="1" w:firstRow="1" w:lastColumn="0" w:lastRow="0" w:noHBand="0" w:noVBand="1" w:val="04A0"/>
      </w:tblPr>
      <w:tblGrid>
        <w:gridCol w:w="4320"/>
        <w:gridCol w:w="4320"/>
      </w:tblGrid>
      <w:tr>
        <w:tc>
          <w:tcPr>
            <w:tcW w:type="dxa" w:w="4320"/>
          </w:tcPr>
          <w:p>
            <w:r>
              <w:rPr>
                <w:rFonts w:ascii="Calibri" w:hAnsi="Calibri"/>
                <w:sz w:val="20"/>
              </w:rPr>
              <w:t>Employee Signature: _________________________</w:t>
            </w:r>
          </w:p>
        </w:tc>
        <w:tc>
          <w:tcPr>
            <w:tcW w:type="dxa" w:w="4320"/>
          </w:tcPr>
          <w:p>
            <w:r>
              <w:rPr>
                <w:rFonts w:ascii="Calibri" w:hAnsi="Calibri"/>
                <w:sz w:val="20"/>
              </w:rPr>
              <w:t>Date: ________________________</w:t>
            </w:r>
          </w:p>
        </w:tc>
      </w:tr>
      <w:tr>
        <w:tc>
          <w:tcPr>
            <w:tcW w:type="dxa" w:w="4320"/>
          </w:tcPr>
          <w:p>
            <w:r>
              <w:rPr>
                <w:rFonts w:ascii="Calibri" w:hAnsi="Calibri"/>
                <w:sz w:val="20"/>
              </w:rPr>
              <w:t>Employee Name (Print): ______________________</w:t>
            </w:r>
          </w:p>
        </w:tc>
        <w:tc>
          <w:tcPr>
            <w:tcW w:type="dxa" w:w="4320"/>
          </w:tcPr>
          <w:p>
            <w:r>
              <w:rPr>
                <w:rFonts w:ascii="Calibri" w:hAnsi="Calibri"/>
                <w:sz w:val="20"/>
              </w:rPr>
              <w:t>Employee ID: _________________</w:t>
            </w:r>
          </w:p>
        </w:tc>
      </w:tr>
      <w:tr>
        <w:tc>
          <w:tcPr>
            <w:tcW w:type="dxa" w:w="4320"/>
          </w:tcPr>
          <w:p>
            <w:r>
              <w:rPr>
                <w:rFonts w:ascii="Calibri" w:hAnsi="Calibri"/>
                <w:sz w:val="20"/>
              </w:rPr>
              <w:t>Department: _________________________________</w:t>
            </w:r>
          </w:p>
        </w:tc>
        <w:tc>
          <w:tcPr>
            <w:tcW w:type="dxa" w:w="4320"/>
          </w:tcPr>
          <w:p>
            <w:r>
              <w:rPr>
                <w:rFonts w:ascii="Calibri" w:hAnsi="Calibri"/>
                <w:sz w:val="20"/>
              </w:rPr>
              <w:t>Position: ____________________</w:t>
            </w:r>
          </w:p>
        </w:tc>
      </w:tr>
    </w:tbl>
    <w:p/>
    <w:p/>
    <w:p>
      <w:pPr>
        <w:jc w:val="center"/>
      </w:pPr>
      <w:r>
        <w:rPr>
          <w:rFonts w:ascii="Calibri" w:hAnsi="Calibri"/>
          <w:color w:val="666666"/>
          <w:sz w:val="18"/>
        </w:rPr>
        <w:t>Prepared by [COMPANY NAME] | Patient Privacy &amp; Confidentiality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