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[ONTARIO] -- Employment Standards Act (ESA), 2000, Compliant</w:t>
      </w:r>
    </w:p>
    <w:p>
      <w:pPr>
        <w:pStyle w:val="Heading1"/>
      </w:pPr>
      <w:r>
        <w:t>Personal Days and Sick Leave Policy</w:t>
      </w:r>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Policy Number:</w:t>
            </w:r>
          </w:p>
        </w:tc>
        <w:tc>
          <w:tcPr>
            <w:tcW w:type="dxa" w:w="4320"/>
          </w:tcPr>
          <w:p>
            <w:r>
              <w:rPr>
                <w:rFonts w:ascii="Calibri" w:hAnsi="Calibri"/>
                <w:sz w:val="20"/>
              </w:rPr>
              <w:t>[POLICY-XXX]</w:t>
            </w:r>
          </w:p>
        </w:tc>
      </w:tr>
      <w:tr>
        <w:tc>
          <w:tcPr>
            <w:tcW w:type="dxa" w:w="4320"/>
          </w:tcPr>
          <w:p>
            <w:r>
              <w:rPr>
                <w:rFonts w:ascii="Calibri" w:hAnsi="Calibri"/>
                <w:sz w:val="20"/>
              </w:rPr>
              <w:t>Effective Date:</w:t>
            </w:r>
          </w:p>
        </w:tc>
        <w:tc>
          <w:tcPr>
            <w:tcW w:type="dxa" w:w="4320"/>
          </w:tcPr>
          <w:p>
            <w:r>
              <w:rPr>
                <w:rFonts w:ascii="Calibri" w:hAnsi="Calibri"/>
                <w:sz w:val="20"/>
              </w:rPr>
              <w:t>[EFFECTIVE DATE]</w:t>
            </w:r>
          </w:p>
        </w:tc>
      </w:tr>
      <w:tr>
        <w:tc>
          <w:tcPr>
            <w:tcW w:type="dxa" w:w="4320"/>
          </w:tcPr>
          <w:p>
            <w:r>
              <w:rPr>
                <w:rFonts w:ascii="Calibri" w:hAnsi="Calibri"/>
                <w:sz w:val="20"/>
              </w:rPr>
              <w:t>Last Reviewed:</w:t>
            </w:r>
          </w:p>
        </w:tc>
        <w:tc>
          <w:tcPr>
            <w:tcW w:type="dxa" w:w="4320"/>
          </w:tcPr>
          <w:p>
            <w:r>
              <w:rPr>
                <w:rFonts w:ascii="Calibri" w:hAnsi="Calibri"/>
                <w:sz w:val="20"/>
              </w:rPr>
              <w:t>[REVIEW DATE]</w:t>
            </w:r>
          </w:p>
        </w:tc>
      </w:tr>
      <w:tr>
        <w:tc>
          <w:tcPr>
            <w:tcW w:type="dxa" w:w="4320"/>
          </w:tcPr>
          <w:p>
            <w:r>
              <w:rPr>
                <w:rFonts w:ascii="Calibri" w:hAnsi="Calibri"/>
                <w:sz w:val="20"/>
              </w:rPr>
              <w:t>Next Review:</w:t>
            </w:r>
          </w:p>
        </w:tc>
        <w:tc>
          <w:tcPr>
            <w:tcW w:type="dxa" w:w="4320"/>
          </w:tcPr>
          <w:p>
            <w:r>
              <w:rPr>
                <w:rFonts w:ascii="Calibri" w:hAnsi="Calibri"/>
                <w:sz w:val="20"/>
              </w:rPr>
              <w:t>[NEXT REVIEW DATE]</w:t>
            </w:r>
          </w:p>
        </w:tc>
      </w:tr>
    </w:tbl>
    <w:p/>
    <w:p>
      <w:pPr>
        <w:pStyle w:val="Heading2"/>
      </w:pPr>
      <w:r>
        <w:t>1. Purpose</w:t>
      </w:r>
    </w:p>
    <w:p>
      <w:r>
        <w:t>[COMPANY NAME] is committed to supporting the health, well-being, and personal needs of our employees. This policy outlines the personal day and sick leave entitlements available to employees, including the statutory minimum under the Employment Standards Act, 2000 (ESA) and any enhanced company benefits.</w:t>
      </w:r>
    </w:p>
    <w:p>
      <w:pPr>
        <w:pStyle w:val="Heading2"/>
      </w:pPr>
      <w:r>
        <w:t>2. Scope</w:t>
      </w:r>
    </w:p>
    <w:p>
      <w:r>
        <w:t>This policy applies to all employees of [COMPANY NAME] in Ontario who have completed a minimum of two (2) consecutive weeks of employment.</w:t>
      </w:r>
    </w:p>
    <w:p>
      <w:pPr>
        <w:pStyle w:val="Heading2"/>
      </w:pPr>
      <w:r>
        <w:t>3. Statutory Minimum -- ESA Sick Leave</w:t>
      </w:r>
    </w:p>
    <w:p>
      <w:r>
        <w:t>Under section 50(1) of the ESA, employees who have been employed for at least two consecutive weeks are entitled to a minimum of three (3) days of job-protected leave per calendar year for the following reasons:</w:t>
      </w:r>
    </w:p>
    <w:p>
      <w:pPr>
        <w:pStyle w:val="ListBullet"/>
      </w:pPr>
      <w:r>
        <w:t>Personal illness, injury, or medical emergency;</w:t>
      </w:r>
    </w:p>
    <w:p>
      <w:pPr>
        <w:pStyle w:val="ListBullet"/>
      </w:pPr>
      <w:r>
        <w:t>A medical appointment for the employee.</w:t>
      </w:r>
    </w:p>
    <w:p>
      <w:r>
        <w:t>These three (3) statutory days are unpaid under the ESA. However, if [COMPANY NAME] provides paid personal days (Section 4), the statutory days are considered inclusive of the company benefit -- they are not in addition to the company entitlement.</w:t>
      </w:r>
    </w:p>
    <w:p>
      <w:pPr>
        <w:pStyle w:val="Heading2"/>
      </w:pPr>
      <w:r>
        <w:t>4. Company Enhanced Benefit -- Paid Personal Days</w:t>
      </w:r>
    </w:p>
    <w:p>
      <w:r>
        <w:t>In addition to the statutory minimum, [COMPANY NAME] provides [NUMBER] paid personal days per calendar year to eligible employees. This enhanced benefit includes and exceeds the ESA minimum.</w:t>
      </w:r>
    </w:p>
    <w:tbl>
      <w:tblPr>
        <w:tblW w:type="auto" w:w="0"/>
        <w:jc w:val="left"/>
        <w:tblLook w:firstColumn="1" w:firstRow="1" w:lastColumn="0" w:lastRow="0" w:noHBand="0" w:noVBand="1" w:val="04A0"/>
      </w:tblPr>
      <w:tblGrid>
        <w:gridCol w:w="4320"/>
        <w:gridCol w:w="4320"/>
      </w:tblGrid>
      <w:tr>
        <w:tc>
          <w:tcPr>
            <w:tcW w:type="dxa" w:w="4320"/>
          </w:tcPr>
          <w:p>
            <w:r>
              <w:rPr>
                <w:b/>
              </w:rPr>
              <w:t>Benefit Component</w:t>
            </w:r>
          </w:p>
        </w:tc>
        <w:tc>
          <w:tcPr>
            <w:tcW w:type="dxa" w:w="4320"/>
          </w:tcPr>
          <w:p>
            <w:r>
              <w:rPr>
                <w:b/>
              </w:rPr>
              <w:t>Details</w:t>
            </w:r>
          </w:p>
        </w:tc>
      </w:tr>
      <w:tr>
        <w:tc>
          <w:tcPr>
            <w:tcW w:type="dxa" w:w="4320"/>
          </w:tcPr>
          <w:p>
            <w:r>
              <w:t>Total Paid Personal Days</w:t>
            </w:r>
          </w:p>
        </w:tc>
        <w:tc>
          <w:tcPr>
            <w:tcW w:type="dxa" w:w="4320"/>
          </w:tcPr>
          <w:p>
            <w:r>
              <w:t>[NUMBER] days per calendar year</w:t>
            </w:r>
          </w:p>
        </w:tc>
      </w:tr>
      <w:tr>
        <w:tc>
          <w:tcPr>
            <w:tcW w:type="dxa" w:w="4320"/>
          </w:tcPr>
          <w:p>
            <w:r>
              <w:t>Pay Rate</w:t>
            </w:r>
          </w:p>
        </w:tc>
        <w:tc>
          <w:tcPr>
            <w:tcW w:type="dxa" w:w="4320"/>
          </w:tcPr>
          <w:p>
            <w:r>
              <w:t>100% of regular base pay</w:t>
            </w:r>
          </w:p>
        </w:tc>
      </w:tr>
      <w:tr>
        <w:tc>
          <w:tcPr>
            <w:tcW w:type="dxa" w:w="4320"/>
          </w:tcPr>
          <w:p>
            <w:r>
              <w:t>Accrual Method</w:t>
            </w:r>
          </w:p>
        </w:tc>
        <w:tc>
          <w:tcPr>
            <w:tcW w:type="dxa" w:w="4320"/>
          </w:tcPr>
          <w:p>
            <w:r>
              <w:t>[OPTION: Available in full on January 1 / Accrued monthly at [X] days per month]</w:t>
            </w:r>
          </w:p>
        </w:tc>
      </w:tr>
    </w:tbl>
    <w:p>
      <w:pPr>
        <w:pStyle w:val="Heading2"/>
      </w:pPr>
      <w:r>
        <w:t>5. Eligible Uses</w:t>
      </w:r>
    </w:p>
    <w:p>
      <w:r>
        <w:t>Personal days may be used for the following purposes:</w:t>
      </w:r>
    </w:p>
    <w:p>
      <w:r>
        <w:rPr>
          <w:b/>
        </w:rPr>
        <w:t xml:space="preserve">Personal Illness or Injury: </w:t>
      </w:r>
      <w:r>
        <w:t>Physical or mental illness, injury, or any health condition that prevents the employee from performing their duties.</w:t>
      </w:r>
    </w:p>
    <w:p>
      <w:r>
        <w:rPr>
          <w:b/>
        </w:rPr>
        <w:t xml:space="preserve">Medical and Dental Appointments: </w:t>
      </w:r>
      <w:r>
        <w:t>Scheduled medical, dental, vision, mental health, or specialist appointments that cannot reasonably be scheduled outside working hours.</w:t>
      </w:r>
    </w:p>
    <w:p>
      <w:r>
        <w:rPr>
          <w:b/>
        </w:rPr>
        <w:t xml:space="preserve">Mental Health: </w:t>
      </w:r>
      <w:r>
        <w:t>Days taken to address mental health needs, including stress, burnout, anxiety, or depression. No specific diagnosis is required.</w:t>
      </w:r>
    </w:p>
    <w:p>
      <w:r>
        <w:rPr>
          <w:b/>
        </w:rPr>
        <w:t xml:space="preserve">Family Care: </w:t>
      </w:r>
      <w:r>
        <w:t>Caring for a family member who is ill, injured, or has a medical emergency. "Family member" includes spouse, parent, child, sibling, grandparent, grandchild, in-law, or any person who the employee considers to be like a close relative.</w:t>
      </w:r>
    </w:p>
    <w:p>
      <w:r>
        <w:rPr>
          <w:b/>
        </w:rPr>
        <w:t xml:space="preserve">Personal Obligations: </w:t>
      </w:r>
      <w:r>
        <w:t>Urgent personal matters that require the employee's attention during work hours (e.g., legal proceedings, housing emergencies, school meetings).</w:t>
      </w:r>
    </w:p>
    <w:p>
      <w:r>
        <w:rPr>
          <w:b/>
        </w:rPr>
        <w:t xml:space="preserve">Religious Observances: </w:t>
      </w:r>
      <w:r>
        <w:t>Days of religious or cultural significance not already covered by statutory holidays.</w:t>
      </w:r>
    </w:p>
    <w:p>
      <w:pPr>
        <w:pStyle w:val="Heading2"/>
      </w:pPr>
      <w:r>
        <w:t>6. Scheduling and Notice</w:t>
      </w:r>
    </w:p>
    <w:p>
      <w:pPr>
        <w:pStyle w:val="Heading3"/>
      </w:pPr>
      <w:r>
        <w:t>6.1 Planned Absences</w:t>
      </w:r>
    </w:p>
    <w:p>
      <w:r>
        <w:t>When the need for a personal day is foreseeable (e.g., scheduled medical appointment, religious observance), the employee should provide their manager with as much advance notice as reasonably possible -- ideally at least 48 hours.</w:t>
      </w:r>
    </w:p>
    <w:p>
      <w:pPr>
        <w:pStyle w:val="Heading3"/>
      </w:pPr>
      <w:r>
        <w:t>6.2 Unplanned Absences</w:t>
      </w:r>
    </w:p>
    <w:p>
      <w:r>
        <w:t>When the need for a personal day is not foreseeable (e.g., sudden illness, family emergency), the employee must notify their manager as early as possible on the day of the absence, and no later than 30 minutes after the start of their scheduled shift, by [phone / email / company absence reporting system].</w:t>
      </w:r>
    </w:p>
    <w:p>
      <w:pPr>
        <w:pStyle w:val="Heading3"/>
      </w:pPr>
      <w:r>
        <w:t>6.3 Consecutive Days</w:t>
      </w:r>
    </w:p>
    <w:p>
      <w:r>
        <w:t>Employees may use personal days on consecutive working days. If the absence extends beyond the number of available personal days, the additional days will be unpaid unless other leave entitlements apply (e.g., ESA unpaid sick leave, short-term disability).</w:t>
      </w:r>
    </w:p>
    <w:p>
      <w:pPr>
        <w:pStyle w:val="Heading2"/>
      </w:pPr>
      <w:r>
        <w:t>7. Documentation Requirements</w:t>
      </w:r>
    </w:p>
    <w:p>
      <w:pPr>
        <w:pStyle w:val="Heading3"/>
      </w:pPr>
      <w:r>
        <w:t>7.1 Three Days or Fewer</w:t>
      </w:r>
    </w:p>
    <w:p>
      <w:r>
        <w:t>[COMPANY NAME] will not require a doctor's note or medical certificate for absences of three (3) consecutive working days or fewer. A verbal or written explanation of the general reason for the absence (e.g., "illness," "medical appointment," "family care") is sufficient.</w:t>
      </w:r>
    </w:p>
    <w:p>
      <w:pPr>
        <w:pStyle w:val="Heading3"/>
      </w:pPr>
      <w:r>
        <w:t>7.2 Absences Exceeding Three Consecutive Days</w:t>
      </w:r>
    </w:p>
    <w:p>
      <w:r>
        <w:t>For absences exceeding three (3) consecutive working days due to illness or injury, [COMPANY NAME] may request a medical certificate from the employee's treating physician confirming:</w:t>
      </w:r>
    </w:p>
    <w:p>
      <w:pPr>
        <w:pStyle w:val="ListBullet"/>
      </w:pPr>
      <w:r>
        <w:t>That the employee was unable to work for medical reasons;</w:t>
      </w:r>
    </w:p>
    <w:p>
      <w:pPr>
        <w:pStyle w:val="ListBullet"/>
      </w:pPr>
      <w:r>
        <w:t>The expected date of return to work;</w:t>
      </w:r>
    </w:p>
    <w:p>
      <w:pPr>
        <w:pStyle w:val="ListBullet"/>
      </w:pPr>
      <w:r>
        <w:t>Any functional limitations or accommodation needs upon return.</w:t>
      </w:r>
    </w:p>
    <w:p>
      <w:r>
        <w:t>The company will reimburse the employee for any reasonable cost of obtaining the medical certificate if required by [COMPANY NAME] (not if required by a third party such as a disability insurer).</w:t>
      </w:r>
    </w:p>
    <w:p>
      <w:pPr>
        <w:pStyle w:val="Heading3"/>
      </w:pPr>
      <w:r>
        <w:t>7.3 Pattern of Absence</w:t>
      </w:r>
    </w:p>
    <w:p>
      <w:r>
        <w:t>If an employee demonstrates a pattern of absence that raises a legitimate concern (e.g., frequent absences on Mondays or Fridays, absences consistently coinciding with holidays or vacation), [COMPANY NAME] may request medical documentation to support the absence, provided this is done in a non-discriminatory and consistent manner.</w:t>
      </w:r>
    </w:p>
    <w:p>
      <w:pPr>
        <w:pStyle w:val="Heading2"/>
      </w:pPr>
      <w:r>
        <w:t>8. Carry-Over Rules</w:t>
      </w:r>
    </w:p>
    <w:p>
      <w:r>
        <w:t>Unused paid personal days [OPTION: do not carry over / carry over up to [X] days] from one calendar year to the next. Unused days [OPTION: are forfeited on December 31 / expire on March 31 of the following year].</w:t>
      </w:r>
    </w:p>
    <w:p>
      <w:r>
        <w:t>Unused personal days are not paid out upon termination of employment unless otherwise required by the employment agreement or company policy.</w:t>
      </w:r>
    </w:p>
    <w:p>
      <w:pPr>
        <w:pStyle w:val="Heading2"/>
      </w:pPr>
      <w:r>
        <w:t>9. Proration for Mid-Year Hires</w:t>
      </w:r>
    </w:p>
    <w:p>
      <w:r>
        <w:t>Employees who commence employment mid-year will have their personal day entitlement prorated based on the number of complete months remaining in the calendar year.</w:t>
      </w:r>
    </w:p>
    <w:p>
      <w:r>
        <w:t>Example:</w:t>
      </w:r>
    </w:p>
    <w:p>
      <w:r>
        <w:t>An employee starting on July 1 with a full-year entitlement of [NUMBER] days would receive [NUMBER / 2] days (6 months remaining out of 12). Fractional days are rounded up to the nearest half day.</w:t>
      </w:r>
    </w:p>
    <w:p>
      <w:pPr>
        <w:pStyle w:val="Heading2"/>
      </w:pPr>
      <w:r>
        <w:t>10. Connection to Short-Term and Long-Term Disability</w:t>
      </w:r>
    </w:p>
    <w:p>
      <w:r>
        <w:t>Personal days are intended for short, occasional absences. If an employee's illness or injury is expected to result in an absence of more than [NUMBER -- e.g., 5 consecutive working days], the employee should contact HR to discuss eligibility for:</w:t>
      </w:r>
    </w:p>
    <w:p>
      <w:pPr>
        <w:pStyle w:val="ListBullet"/>
      </w:pPr>
      <w:r>
        <w:t>Short-Term Disability (STD): [COMPANY NAME]'s STD benefit provides [PERCENTAGE]% of base salary for up to [DURATION] weeks. [INSERT DETAILS or refer to benefits booklet.]</w:t>
      </w:r>
    </w:p>
    <w:p>
      <w:pPr>
        <w:pStyle w:val="ListBullet"/>
      </w:pPr>
      <w:r>
        <w:t>Long-Term Disability (LTD): If the disability extends beyond the STD period, the employee may be eligible for LTD benefits. [INSERT DETAILS or refer to benefits booklet.]</w:t>
      </w:r>
    </w:p>
    <w:p>
      <w:pPr>
        <w:pStyle w:val="ListBullet"/>
      </w:pPr>
      <w:r>
        <w:t>Employment Standards Act Leave: Employees may also be entitled to unpaid, job-protected leave under the ESA (e.g., sick leave, family caregiver leave, family medical leave, critical illness leave) beyond the personal day entitlement.</w:t>
      </w:r>
    </w:p>
    <w:p>
      <w:pPr>
        <w:pStyle w:val="Heading2"/>
      </w:pPr>
      <w:r>
        <w:t>11. Confidentiality</w:t>
      </w:r>
    </w:p>
    <w:p>
      <w:r>
        <w:t>All information related to an employee's use of personal days, including medical information, is confidential and will be maintained in a secure file separate from the employee's general personnel file. Access to this information is restricted to HR personnel and the employee's direct manager on a need-to-know basis.</w:t>
      </w:r>
    </w:p>
    <w:p>
      <w:pPr>
        <w:pStyle w:val="Heading2"/>
      </w:pPr>
      <w:r>
        <w:t>12. Non-Retaliation</w:t>
      </w:r>
    </w:p>
    <w:p>
      <w:r>
        <w:t>No employee will be penalized, disciplined, or retaliated against for taking personal days in accordance with this policy or for exercising their rights under the ESA.</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Pr>
                <w:rFonts w:ascii="Calibri" w:hAnsi="Calibri"/>
                <w:b/>
                <w:sz w:val="20"/>
              </w:rPr>
              <w:t>Role</w:t>
            </w:r>
          </w:p>
        </w:tc>
        <w:tc>
          <w:tcPr>
            <w:tcW w:type="dxa" w:w="2880"/>
          </w:tcPr>
          <w:p>
            <w:r>
              <w:rPr>
                <w:rFonts w:ascii="Calibri" w:hAnsi="Calibri"/>
                <w:b/>
                <w:sz w:val="20"/>
              </w:rPr>
              <w:t>Name</w:t>
            </w:r>
          </w:p>
        </w:tc>
        <w:tc>
          <w:tcPr>
            <w:tcW w:type="dxa" w:w="2880"/>
          </w:tcPr>
          <w:p>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Pr>
        <w:jc w:val="center"/>
      </w:pPr>
      <w:r>
        <w:rPr>
          <w:i/>
          <w:color w:val="999999"/>
          <w:sz w:val="16"/>
        </w:rPr>
        <w:t>Prepared by [COMPANY NAME] | Personal Days and Sick Leave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