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[COMPANY NAME]</w:t>
      </w:r>
    </w:p>
    <w:p>
      <w:pPr>
        <w:jc w:val="center"/>
      </w:pPr>
      <w:r>
        <w:rPr>
          <w:rFonts w:ascii="Calibri" w:hAnsi="Calibri"/>
          <w:i/>
          <w:color w:val="666666"/>
          <w:sz w:val="22"/>
        </w:rPr>
        <w:t>[ONTARIO] -- ESA and Common Law Compliant</w:t>
      </w:r>
    </w:p>
    <w:p>
      <w:pPr>
        <w:pStyle w:val="Heading1"/>
      </w:pPr>
      <w:r>
        <w:t>Progressive Discipline Policy</w:t>
      </w:r>
    </w:p>
    <w:tbl>
      <w:tblPr>
        <w:tblW w:type="auto" w:w="0"/>
        <w:jc w:val="left"/>
        <w:tblLook w:firstColumn="1" w:firstRow="1" w:lastColumn="0" w:lastRow="0" w:noHBand="0" w:noVBand="1" w:val="04A0"/>
      </w:tblPr>
      <w:tblGrid>
        <w:gridCol w:w="4320"/>
        <w:gridCol w:w="4320"/>
      </w:tblGrid>
      <w:tr>
        <w:tc>
          <w:tcPr>
            <w:tcW w:type="dxa" w:w="4320"/>
          </w:tcPr>
          <w:p>
            <w:r>
              <w:rPr>
                <w:rFonts w:ascii="Calibri" w:hAnsi="Calibri"/>
                <w:sz w:val="20"/>
              </w:rPr>
              <w:t>Policy Number:</w:t>
            </w:r>
          </w:p>
        </w:tc>
        <w:tc>
          <w:tcPr>
            <w:tcW w:type="dxa" w:w="4320"/>
          </w:tcPr>
          <w:p>
            <w:r>
              <w:rPr>
                <w:rFonts w:ascii="Calibri" w:hAnsi="Calibri"/>
                <w:sz w:val="20"/>
              </w:rPr>
              <w:t>[POLICY-XXX]</w:t>
            </w:r>
          </w:p>
        </w:tc>
      </w:tr>
      <w:tr>
        <w:tc>
          <w:tcPr>
            <w:tcW w:type="dxa" w:w="4320"/>
          </w:tcPr>
          <w:p>
            <w:r>
              <w:rPr>
                <w:rFonts w:ascii="Calibri" w:hAnsi="Calibri"/>
                <w:sz w:val="20"/>
              </w:rPr>
              <w:t>Effective Date:</w:t>
            </w:r>
          </w:p>
        </w:tc>
        <w:tc>
          <w:tcPr>
            <w:tcW w:type="dxa" w:w="4320"/>
          </w:tcPr>
          <w:p>
            <w:r>
              <w:rPr>
                <w:rFonts w:ascii="Calibri" w:hAnsi="Calibri"/>
                <w:sz w:val="20"/>
              </w:rPr>
              <w:t>[EFFECTIVE DATE]</w:t>
            </w:r>
          </w:p>
        </w:tc>
      </w:tr>
      <w:tr>
        <w:tc>
          <w:tcPr>
            <w:tcW w:type="dxa" w:w="4320"/>
          </w:tcPr>
          <w:p>
            <w:r>
              <w:rPr>
                <w:rFonts w:ascii="Calibri" w:hAnsi="Calibri"/>
                <w:sz w:val="20"/>
              </w:rPr>
              <w:t>Last Reviewed:</w:t>
            </w:r>
          </w:p>
        </w:tc>
        <w:tc>
          <w:tcPr>
            <w:tcW w:type="dxa" w:w="4320"/>
          </w:tcPr>
          <w:p>
            <w:r>
              <w:rPr>
                <w:rFonts w:ascii="Calibri" w:hAnsi="Calibri"/>
                <w:sz w:val="20"/>
              </w:rPr>
              <w:t>[REVIEW DATE]</w:t>
            </w:r>
          </w:p>
        </w:tc>
      </w:tr>
      <w:tr>
        <w:tc>
          <w:tcPr>
            <w:tcW w:type="dxa" w:w="4320"/>
          </w:tcPr>
          <w:p>
            <w:r>
              <w:rPr>
                <w:rFonts w:ascii="Calibri" w:hAnsi="Calibri"/>
                <w:sz w:val="20"/>
              </w:rPr>
              <w:t>Next Review:</w:t>
            </w:r>
          </w:p>
        </w:tc>
        <w:tc>
          <w:tcPr>
            <w:tcW w:type="dxa" w:w="4320"/>
          </w:tcPr>
          <w:p>
            <w:r>
              <w:rPr>
                <w:rFonts w:ascii="Calibri" w:hAnsi="Calibri"/>
                <w:sz w:val="20"/>
              </w:rPr>
              <w:t>[NEXT REVIEW DATE]</w:t>
            </w:r>
          </w:p>
        </w:tc>
      </w:tr>
    </w:tbl>
    <w:p/>
    <w:p>
      <w:pPr>
        <w:pStyle w:val="Heading2"/>
      </w:pPr>
      <w:r>
        <w:t>1. Purpose</w:t>
      </w:r>
    </w:p>
    <w:p>
      <w:r>
        <w:t>The purpose of this policy is to establish a fair, consistent, and transparent framework for addressing workplace performance and conduct issues. Progressive discipline is a corrective process designed to help employees understand the issue, improve their performance or behaviour, and succeed in their role. It is about accountability, not punishment.</w:t>
      </w:r>
    </w:p>
    <w:p>
      <w:pPr>
        <w:pStyle w:val="Heading2"/>
      </w:pPr>
      <w:r>
        <w:t>2. Scope</w:t>
      </w:r>
    </w:p>
    <w:p>
      <w:r>
        <w:t>This policy applies to all employees of [COMPANY NAME]. It does not apply to independent contractors. During the probationary period (as defined in the employee's offer of employment), [COMPANY NAME] reserves the right to terminate employment without completing all steps of the progressive discipline process, subject to ESA minimum requirements.</w:t>
      </w:r>
    </w:p>
    <w:p>
      <w:pPr>
        <w:pStyle w:val="Heading2"/>
      </w:pPr>
      <w:r>
        <w:t>3. Guiding Principles</w:t>
      </w:r>
    </w:p>
    <w:p>
      <w:r>
        <w:rPr>
          <w:b/>
        </w:rPr>
        <w:t xml:space="preserve">Fairness: </w:t>
      </w:r>
      <w:r>
        <w:t>Discipline is applied consistently and without bias. Similar situations receive similar treatment, with consideration for individual circumstances.</w:t>
      </w:r>
    </w:p>
    <w:p>
      <w:r>
        <w:rPr>
          <w:b/>
        </w:rPr>
        <w:t xml:space="preserve">Proportionality: </w:t>
      </w:r>
      <w:r>
        <w:t>The severity of the disciplinary action is proportionate to the seriousness of the performance or conduct issue.</w:t>
      </w:r>
    </w:p>
    <w:p>
      <w:r>
        <w:rPr>
          <w:b/>
        </w:rPr>
        <w:t xml:space="preserve">Communication: </w:t>
      </w:r>
      <w:r>
        <w:t>The employee is clearly informed of the issue, the expected standard, and the consequences of failing to improve.</w:t>
      </w:r>
    </w:p>
    <w:p>
      <w:r>
        <w:rPr>
          <w:b/>
        </w:rPr>
        <w:t xml:space="preserve">Support: </w:t>
      </w:r>
      <w:r>
        <w:t>The employee is given reasonable support, resources, and time to improve before more serious action is taken.</w:t>
      </w:r>
    </w:p>
    <w:p>
      <w:r>
        <w:rPr>
          <w:b/>
        </w:rPr>
        <w:t xml:space="preserve">Documentation: </w:t>
      </w:r>
      <w:r>
        <w:t>Every step of the process is documented in writing, creating a fair and accurate record.</w:t>
      </w:r>
    </w:p>
    <w:p>
      <w:r>
        <w:rPr>
          <w:b/>
        </w:rPr>
        <w:t xml:space="preserve">Due Process: </w:t>
      </w:r>
      <w:r>
        <w:t>The employee has the opportunity to understand the concerns and respond before a decision is made.</w:t>
      </w:r>
    </w:p>
    <w:p>
      <w:pPr>
        <w:pStyle w:val="Heading2"/>
      </w:pPr>
      <w:r>
        <w:t>4. Steps of Progressive Discipline</w:t>
      </w:r>
    </w:p>
    <w:p>
      <w:pPr>
        <w:pStyle w:val="Heading3"/>
      </w:pPr>
      <w:r>
        <w:t>Step 1: Informal Coaching Conversation</w:t>
      </w:r>
    </w:p>
    <w:p>
      <w:r>
        <w:t>The first step is an informal, private conversation between the supervisor and the employee to address the performance or conduct concern. The purpose is to:</w:t>
      </w:r>
    </w:p>
    <w:p>
      <w:pPr>
        <w:pStyle w:val="ListBullet"/>
      </w:pPr>
      <w:r>
        <w:t>Clearly identify the issue and the expected standard;</w:t>
      </w:r>
    </w:p>
    <w:p>
      <w:pPr>
        <w:pStyle w:val="ListBullet"/>
      </w:pPr>
      <w:r>
        <w:t>Understand the employee's perspective and any contributing factors;</w:t>
      </w:r>
    </w:p>
    <w:p>
      <w:pPr>
        <w:pStyle w:val="ListBullet"/>
      </w:pPr>
      <w:r>
        <w:t>Agree on a plan for improvement;</w:t>
      </w:r>
    </w:p>
    <w:p>
      <w:pPr>
        <w:pStyle w:val="ListBullet"/>
      </w:pPr>
      <w:r>
        <w:t>Set a reasonable timeline for follow-up.</w:t>
      </w:r>
    </w:p>
    <w:p>
      <w:r>
        <w:rPr>
          <w:b/>
        </w:rPr>
        <w:t xml:space="preserve">Documentation: </w:t>
      </w:r>
      <w:r>
        <w:t>The supervisor should make a note of the conversation (date, topic, agreed actions) and retain it in their management file. A copy is not typically placed in the employee's HR file at this stage.</w:t>
      </w:r>
    </w:p>
    <w:p>
      <w:pPr>
        <w:pStyle w:val="Heading3"/>
      </w:pPr>
      <w:r>
        <w:t>Step 2: Verbal Warning (Documented)</w:t>
      </w:r>
    </w:p>
    <w:p>
      <w:r>
        <w:t>If the issue persists after the informal coaching conversation, the supervisor will issue a verbal warning. Despite being called "verbal," this warning is documented in writing. The supervisor will:</w:t>
      </w:r>
    </w:p>
    <w:p>
      <w:pPr>
        <w:pStyle w:val="ListBullet"/>
      </w:pPr>
      <w:r>
        <w:t>Meet privately with the employee;</w:t>
      </w:r>
    </w:p>
    <w:p>
      <w:pPr>
        <w:pStyle w:val="ListBullet"/>
      </w:pPr>
      <w:r>
        <w:t>Clearly state the issue, referencing the prior coaching conversation;</w:t>
      </w:r>
    </w:p>
    <w:p>
      <w:pPr>
        <w:pStyle w:val="ListBullet"/>
      </w:pPr>
      <w:r>
        <w:t>Explain the expected standard of performance or conduct;</w:t>
      </w:r>
    </w:p>
    <w:p>
      <w:pPr>
        <w:pStyle w:val="ListBullet"/>
      </w:pPr>
      <w:r>
        <w:t>Outline the consequences if improvement is not achieved;</w:t>
      </w:r>
    </w:p>
    <w:p>
      <w:pPr>
        <w:pStyle w:val="ListBullet"/>
      </w:pPr>
      <w:r>
        <w:t>Provide a written summary of the conversation to the employee.</w:t>
      </w:r>
    </w:p>
    <w:p>
      <w:r>
        <w:rPr>
          <w:b/>
        </w:rPr>
        <w:t xml:space="preserve">Documentation: </w:t>
      </w:r>
      <w:r>
        <w:t>A copy of the written summary is placed in the employee's HR file.</w:t>
      </w:r>
    </w:p>
    <w:p>
      <w:pPr>
        <w:pStyle w:val="Heading3"/>
      </w:pPr>
      <w:r>
        <w:t>Step 3: Written Warning</w:t>
      </w:r>
    </w:p>
    <w:p>
      <w:r>
        <w:t>If the issue continues after the verbal warning, a formal written warning is issued. The written warning will include:</w:t>
      </w:r>
    </w:p>
    <w:p>
      <w:pPr>
        <w:pStyle w:val="ListBullet"/>
      </w:pPr>
      <w:r>
        <w:t>A clear description of the performance or conduct issue;</w:t>
      </w:r>
    </w:p>
    <w:p>
      <w:pPr>
        <w:pStyle w:val="ListBullet"/>
      </w:pPr>
      <w:r>
        <w:t>A summary of prior steps taken (coaching conversation, verbal warning);</w:t>
      </w:r>
    </w:p>
    <w:p>
      <w:pPr>
        <w:pStyle w:val="ListBullet"/>
      </w:pPr>
      <w:r>
        <w:t>The specific standard or expectation that the employee must meet;</w:t>
      </w:r>
    </w:p>
    <w:p>
      <w:pPr>
        <w:pStyle w:val="ListBullet"/>
      </w:pPr>
      <w:r>
        <w:t>A clear timeline for improvement (e.g., 30, 60, or 90 days depending on the nature of the issue);</w:t>
      </w:r>
    </w:p>
    <w:p>
      <w:pPr>
        <w:pStyle w:val="ListBullet"/>
      </w:pPr>
      <w:r>
        <w:t>A statement that failure to improve may result in further disciplinary action, up to and including termination;</w:t>
      </w:r>
    </w:p>
    <w:p>
      <w:pPr>
        <w:pStyle w:val="ListBullet"/>
      </w:pPr>
      <w:r>
        <w:t>The employee's signature (acknowledging receipt, not necessarily agreement).</w:t>
      </w:r>
    </w:p>
    <w:p>
      <w:r>
        <w:rPr>
          <w:b/>
        </w:rPr>
        <w:t xml:space="preserve">Documentation: </w:t>
      </w:r>
      <w:r>
        <w:t>Original placed in the employee's HR file. Copy provided to the employee.</w:t>
      </w:r>
    </w:p>
    <w:p>
      <w:pPr>
        <w:pStyle w:val="Heading3"/>
      </w:pPr>
      <w:r>
        <w:t>Step 4: Performance Improvement Plan (PIP)</w:t>
      </w:r>
    </w:p>
    <w:p>
      <w:r>
        <w:t>For ongoing performance issues, a formal Performance Improvement Plan may be implemented. The PIP will include:</w:t>
      </w:r>
    </w:p>
    <w:p>
      <w:pPr>
        <w:pStyle w:val="ListBullet"/>
      </w:pPr>
      <w:r>
        <w:t>Specific, measurable, achievable, relevant, and time-bound (SMART) objectives;</w:t>
      </w:r>
    </w:p>
    <w:p>
      <w:pPr>
        <w:pStyle w:val="ListBullet"/>
      </w:pPr>
      <w:r>
        <w:t>Resources, training, or support to be provided by the company;</w:t>
      </w:r>
    </w:p>
    <w:p>
      <w:pPr>
        <w:pStyle w:val="ListBullet"/>
      </w:pPr>
      <w:r>
        <w:t>Regular check-in meetings (e.g., weekly or bi-weekly) between the supervisor and employee;</w:t>
      </w:r>
    </w:p>
    <w:p>
      <w:pPr>
        <w:pStyle w:val="ListBullet"/>
      </w:pPr>
      <w:r>
        <w:t>A defined duration (typically 30 to 90 days);</w:t>
      </w:r>
    </w:p>
    <w:p>
      <w:pPr>
        <w:pStyle w:val="ListBullet"/>
      </w:pPr>
      <w:r>
        <w:t>Clear success criteria and consequences of not meeting them;</w:t>
      </w:r>
    </w:p>
    <w:p>
      <w:pPr>
        <w:pStyle w:val="ListBullet"/>
      </w:pPr>
      <w:r>
        <w:t>A final review meeting to assess whether the PIP objectives have been met.</w:t>
      </w:r>
    </w:p>
    <w:p>
      <w:r>
        <w:rPr>
          <w:b/>
        </w:rPr>
        <w:t xml:space="preserve">Documentation: </w:t>
      </w:r>
      <w:r>
        <w:t>The PIP document, all check-in notes, and the final review are placed in the employee's HR file.</w:t>
      </w:r>
    </w:p>
    <w:p>
      <w:pPr>
        <w:pStyle w:val="Heading3"/>
      </w:pPr>
      <w:r>
        <w:t>Step 5: Suspension</w:t>
      </w:r>
    </w:p>
    <w:p>
      <w:r>
        <w:t>In serious cases, or where prior steps have not resulted in improvement, the employee may be suspended. Suspensions may be:</w:t>
      </w:r>
    </w:p>
    <w:p>
      <w:pPr>
        <w:pStyle w:val="ListBullet"/>
      </w:pPr>
      <w:r>
        <w:t>With pay (administrative suspension -- typically used during investigation of serious allegations);</w:t>
      </w:r>
    </w:p>
    <w:p>
      <w:pPr>
        <w:pStyle w:val="ListBullet"/>
      </w:pPr>
      <w:r>
        <w:t>Without pay (disciplinary suspension -- typically 1 to 5 days, proportionate to the misconduct).</w:t>
      </w:r>
    </w:p>
    <w:p>
      <w:r>
        <w:t>The employee will receive a written notice of suspension specifying the duration, reasons, and conditions of the suspension.</w:t>
      </w:r>
    </w:p>
    <w:p>
      <w:r>
        <w:rPr>
          <w:b/>
        </w:rPr>
        <w:t xml:space="preserve">Note: </w:t>
      </w:r>
      <w:r>
        <w:t>Unpaid suspensions of significant duration may constitute constructive dismissal under common law. Legal counsel should be consulted before imposing unpaid suspensions.</w:t>
      </w:r>
    </w:p>
    <w:p>
      <w:pPr>
        <w:pStyle w:val="Heading3"/>
      </w:pPr>
      <w:r>
        <w:t>Step 6: Termination</w:t>
      </w:r>
    </w:p>
    <w:p>
      <w:r>
        <w:t>Termination is the final step and is taken only when all other reasonable steps have failed to resolve the issue, or when the conduct is so serious that it warrants immediate dismissal (see Section 5). Termination may be:</w:t>
      </w:r>
    </w:p>
    <w:p>
      <w:r>
        <w:rPr>
          <w:b/>
        </w:rPr>
        <w:t xml:space="preserve">Without cause: </w:t>
      </w:r>
      <w:r>
        <w:t>[COMPANY NAME] may terminate employment without cause at any time by providing the employee with notice, pay in lieu of notice, and/or severance pay as required by the ESA and common law. The employee's common law entitlements may exceed the ESA minimums.</w:t>
      </w:r>
    </w:p>
    <w:p>
      <w:r>
        <w:rPr>
          <w:b/>
        </w:rPr>
        <w:t xml:space="preserve">With cause (just cause): </w:t>
      </w:r>
      <w:r>
        <w:t>In cases of serious misconduct, [COMPANY NAME] may terminate employment for just cause without notice or severance pay. The threshold for just cause is high and is assessed using the contextual approach established in McKinley v. BC Tel (2001 SCC 38), considering the nature and seriousness of the conduct, the employee's tenure and record, the impact on the employment relationship, and whether termination is proportionate to the misconduct.</w:t>
      </w:r>
    </w:p>
    <w:p>
      <w:pPr>
        <w:pStyle w:val="Heading2"/>
      </w:pPr>
      <w:r>
        <w:t>5. Employer Discretion to Skip Steps</w:t>
      </w:r>
    </w:p>
    <w:p>
      <w:r>
        <w:t>[COMPANY NAME] reserves the right to skip one or more steps of the progressive discipline process when the seriousness of the misconduct warrants it. Examples of conduct that may result in accelerated discipline or immediate termination include, but are not limited to:</w:t>
      </w:r>
    </w:p>
    <w:p>
      <w:pPr>
        <w:pStyle w:val="ListBullet"/>
      </w:pPr>
      <w:r>
        <w:t>Theft, fraud, or dishonesty;</w:t>
      </w:r>
    </w:p>
    <w:p>
      <w:pPr>
        <w:pStyle w:val="ListBullet"/>
      </w:pPr>
      <w:r>
        <w:t>Violence, threats of violence, or intimidation;</w:t>
      </w:r>
    </w:p>
    <w:p>
      <w:pPr>
        <w:pStyle w:val="ListBullet"/>
      </w:pPr>
      <w:r>
        <w:t>Serious breach of health and safety rules that creates imminent danger;</w:t>
      </w:r>
    </w:p>
    <w:p>
      <w:pPr>
        <w:pStyle w:val="ListBullet"/>
      </w:pPr>
      <w:r>
        <w:t>Harassment, discrimination, or sexual harassment (as determined by investigation);</w:t>
      </w:r>
    </w:p>
    <w:p>
      <w:pPr>
        <w:pStyle w:val="ListBullet"/>
      </w:pPr>
      <w:r>
        <w:t>Possession, use, or distribution of illegal substances at work;</w:t>
      </w:r>
    </w:p>
    <w:p>
      <w:pPr>
        <w:pStyle w:val="ListBullet"/>
      </w:pPr>
      <w:r>
        <w:t>Wilful destruction of company property;</w:t>
      </w:r>
    </w:p>
    <w:p>
      <w:pPr>
        <w:pStyle w:val="ListBullet"/>
      </w:pPr>
      <w:r>
        <w:t>Gross insubordination;</w:t>
      </w:r>
    </w:p>
    <w:p>
      <w:pPr>
        <w:pStyle w:val="ListBullet"/>
      </w:pPr>
      <w:r>
        <w:t>Breach of confidentiality or intellectual property obligations;</w:t>
      </w:r>
    </w:p>
    <w:p>
      <w:pPr>
        <w:pStyle w:val="ListBullet"/>
      </w:pPr>
      <w:r>
        <w:t>Conduct that brings the company into serious disrepute.</w:t>
      </w:r>
    </w:p>
    <w:p>
      <w:pPr>
        <w:pStyle w:val="Heading2"/>
      </w:pPr>
      <w:r>
        <w:t>6. Just Cause Framework</w:t>
      </w:r>
    </w:p>
    <w:p>
      <w:r>
        <w:t>Before terminating any employee for just cause, [COMPANY NAME] will assess the situation using the contextual approach established in McKinley v. BC Tel (2001 SCC 38). This approach requires consideration of:</w:t>
      </w:r>
    </w:p>
    <w:p>
      <w:pPr>
        <w:pStyle w:val="ListBullet"/>
      </w:pPr>
      <w:r>
        <w:t>The nature and seriousness of the dishonesty or misconduct;</w:t>
      </w:r>
    </w:p>
    <w:p>
      <w:pPr>
        <w:pStyle w:val="ListBullet"/>
      </w:pPr>
      <w:r>
        <w:t>The surrounding circumstances;</w:t>
      </w:r>
    </w:p>
    <w:p>
      <w:pPr>
        <w:pStyle w:val="ListBullet"/>
      </w:pPr>
      <w:r>
        <w:t>The employee's length of service and disciplinary record;</w:t>
      </w:r>
    </w:p>
    <w:p>
      <w:pPr>
        <w:pStyle w:val="ListBullet"/>
      </w:pPr>
      <w:r>
        <w:t>Whether termination is proportionate to the particular misconduct;</w:t>
      </w:r>
    </w:p>
    <w:p>
      <w:pPr>
        <w:pStyle w:val="ListBullet"/>
      </w:pPr>
      <w:r>
        <w:t>Whether a lesser sanction would be appropriate.</w:t>
      </w:r>
    </w:p>
    <w:p>
      <w:r>
        <w:t>[COMPANY NAME] will consult with legal counsel before making a determination of just cause.</w:t>
      </w:r>
    </w:p>
    <w:p>
      <w:pPr>
        <w:pStyle w:val="Heading2"/>
      </w:pPr>
      <w:r>
        <w:t>7. Documentation Requirements at Each Step</w:t>
      </w:r>
    </w:p>
    <w:tbl>
      <w:tblPr>
        <w:tblW w:type="auto" w:w="0"/>
        <w:jc w:val="left"/>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Documented By</w:t>
            </w:r>
          </w:p>
        </w:tc>
        <w:tc>
          <w:tcPr>
            <w:tcW w:type="dxa" w:w="2880"/>
          </w:tcPr>
          <w:p>
            <w:r>
              <w:rPr>
                <w:b/>
              </w:rPr>
              <w:t>Filed In</w:t>
            </w:r>
          </w:p>
        </w:tc>
      </w:tr>
      <w:tr>
        <w:tc>
          <w:tcPr>
            <w:tcW w:type="dxa" w:w="2880"/>
          </w:tcPr>
          <w:p>
            <w:r>
              <w:t>Informal Coaching</w:t>
            </w:r>
          </w:p>
        </w:tc>
        <w:tc>
          <w:tcPr>
            <w:tcW w:type="dxa" w:w="2880"/>
          </w:tcPr>
          <w:p>
            <w:r>
              <w:t>Supervisor's notes</w:t>
            </w:r>
          </w:p>
        </w:tc>
        <w:tc>
          <w:tcPr>
            <w:tcW w:type="dxa" w:w="2880"/>
          </w:tcPr>
          <w:p>
            <w:r>
              <w:t>Supervisor's management file</w:t>
            </w:r>
          </w:p>
        </w:tc>
      </w:tr>
      <w:tr>
        <w:tc>
          <w:tcPr>
            <w:tcW w:type="dxa" w:w="2880"/>
          </w:tcPr>
          <w:p>
            <w:r>
              <w:t>Verbal Warning</w:t>
            </w:r>
          </w:p>
        </w:tc>
        <w:tc>
          <w:tcPr>
            <w:tcW w:type="dxa" w:w="2880"/>
          </w:tcPr>
          <w:p>
            <w:r>
              <w:t>Written summary signed by supervisor</w:t>
            </w:r>
          </w:p>
        </w:tc>
        <w:tc>
          <w:tcPr>
            <w:tcW w:type="dxa" w:w="2880"/>
          </w:tcPr>
          <w:p>
            <w:r>
              <w:t>Employee's HR file</w:t>
            </w:r>
          </w:p>
        </w:tc>
      </w:tr>
      <w:tr>
        <w:tc>
          <w:tcPr>
            <w:tcW w:type="dxa" w:w="2880"/>
          </w:tcPr>
          <w:p>
            <w:r>
              <w:t>Written Warning</w:t>
            </w:r>
          </w:p>
        </w:tc>
        <w:tc>
          <w:tcPr>
            <w:tcW w:type="dxa" w:w="2880"/>
          </w:tcPr>
          <w:p>
            <w:r>
              <w:t>Formal letter signed by supervisor and employee</w:t>
            </w:r>
          </w:p>
        </w:tc>
        <w:tc>
          <w:tcPr>
            <w:tcW w:type="dxa" w:w="2880"/>
          </w:tcPr>
          <w:p>
            <w:r>
              <w:t>Employee's HR file</w:t>
            </w:r>
          </w:p>
        </w:tc>
      </w:tr>
      <w:tr>
        <w:tc>
          <w:tcPr>
            <w:tcW w:type="dxa" w:w="2880"/>
          </w:tcPr>
          <w:p>
            <w:r>
              <w:t>PIP</w:t>
            </w:r>
          </w:p>
        </w:tc>
        <w:tc>
          <w:tcPr>
            <w:tcW w:type="dxa" w:w="2880"/>
          </w:tcPr>
          <w:p>
            <w:r>
              <w:t>PIP document, check-in notes, final review</w:t>
            </w:r>
          </w:p>
        </w:tc>
        <w:tc>
          <w:tcPr>
            <w:tcW w:type="dxa" w:w="2880"/>
          </w:tcPr>
          <w:p>
            <w:r>
              <w:t>Employee's HR file</w:t>
            </w:r>
          </w:p>
        </w:tc>
      </w:tr>
      <w:tr>
        <w:tc>
          <w:tcPr>
            <w:tcW w:type="dxa" w:w="2880"/>
          </w:tcPr>
          <w:p>
            <w:r>
              <w:t>Suspension</w:t>
            </w:r>
          </w:p>
        </w:tc>
        <w:tc>
          <w:tcPr>
            <w:tcW w:type="dxa" w:w="2880"/>
          </w:tcPr>
          <w:p>
            <w:r>
              <w:t>Written notice of suspension</w:t>
            </w:r>
          </w:p>
        </w:tc>
        <w:tc>
          <w:tcPr>
            <w:tcW w:type="dxa" w:w="2880"/>
          </w:tcPr>
          <w:p>
            <w:r>
              <w:t>Employee's HR file</w:t>
            </w:r>
          </w:p>
        </w:tc>
      </w:tr>
      <w:tr>
        <w:tc>
          <w:tcPr>
            <w:tcW w:type="dxa" w:w="2880"/>
          </w:tcPr>
          <w:p>
            <w:r>
              <w:t>Termination</w:t>
            </w:r>
          </w:p>
        </w:tc>
        <w:tc>
          <w:tcPr>
            <w:tcW w:type="dxa" w:w="2880"/>
          </w:tcPr>
          <w:p>
            <w:r>
              <w:t>Termination letter, ROE, final pay records</w:t>
            </w:r>
          </w:p>
        </w:tc>
        <w:tc>
          <w:tcPr>
            <w:tcW w:type="dxa" w:w="2880"/>
          </w:tcPr>
          <w:p>
            <w:r>
              <w:t>Employee's HR file</w:t>
            </w:r>
          </w:p>
        </w:tc>
      </w:tr>
    </w:tbl>
    <w:p>
      <w:pPr>
        <w:pStyle w:val="Heading2"/>
      </w:pPr>
      <w:r>
        <w:t>8. Employee's Right to Respond</w:t>
      </w:r>
    </w:p>
    <w:p>
      <w:r>
        <w:t>At every step of the progressive discipline process, the employee has the right to:</w:t>
      </w:r>
    </w:p>
    <w:p>
      <w:pPr>
        <w:pStyle w:val="ListBullet"/>
      </w:pPr>
      <w:r>
        <w:t>Be informed of the specific concern or allegation;</w:t>
      </w:r>
    </w:p>
    <w:p>
      <w:pPr>
        <w:pStyle w:val="ListBullet"/>
      </w:pPr>
      <w:r>
        <w:t>Provide their explanation, perspective, or any mitigating circumstances;</w:t>
      </w:r>
    </w:p>
    <w:p>
      <w:pPr>
        <w:pStyle w:val="ListBullet"/>
      </w:pPr>
      <w:r>
        <w:t>Have a support person present at disciplinary meetings (e.g., union representative, trusted colleague, HR representative) -- the employee should advise their supervisor in advance;</w:t>
      </w:r>
    </w:p>
    <w:p>
      <w:pPr>
        <w:pStyle w:val="ListBullet"/>
      </w:pPr>
      <w:r>
        <w:t>Review and receive copies of all disciplinary documentation placed in their HR file;</w:t>
      </w:r>
    </w:p>
    <w:p>
      <w:pPr>
        <w:pStyle w:val="ListBullet"/>
      </w:pPr>
      <w:r>
        <w:t>Submit a written rebuttal to be placed in their HR file alongside the disciplinary record.</w:t>
      </w:r>
    </w:p>
    <w:p>
      <w:pPr>
        <w:pStyle w:val="Heading2"/>
      </w:pPr>
      <w:r>
        <w:t>9. Non-Retaliation</w:t>
      </w:r>
    </w:p>
    <w:p>
      <w:r>
        <w:t>No employee will be penalized, disciplined, or retaliated against for raising concerns about their own discipline, questioning the fairness of a decision, exercising their right to respond, or participating in another employee's disciplinary process as a witness or support person.</w:t>
      </w:r>
    </w:p>
    <w:p>
      <w:pPr>
        <w:pStyle w:val="Heading2"/>
      </w:pPr>
      <w:r>
        <w:t>10. Employment Standards Act Compliance</w:t>
      </w:r>
    </w:p>
    <w:p>
      <w:r>
        <w:t>Nothing in this policy reduces or eliminates any employee's entitlements under the Employment Standards Act, 2000 (ESA), including but not limited to:</w:t>
      </w:r>
    </w:p>
    <w:p>
      <w:pPr>
        <w:pStyle w:val="ListBullet"/>
      </w:pPr>
      <w:r>
        <w:t>Minimum notice of termination or pay in lieu of notice (ESA s. 57-58);</w:t>
      </w:r>
    </w:p>
    <w:p>
      <w:pPr>
        <w:pStyle w:val="ListBullet"/>
      </w:pPr>
      <w:r>
        <w:t>Severance pay for employees with 5+ years of service at an employer with a payroll of $2.5 million or more (ESA s. 64-65);</w:t>
      </w:r>
    </w:p>
    <w:p>
      <w:pPr>
        <w:pStyle w:val="ListBullet"/>
      </w:pPr>
      <w:r>
        <w:t>Continuation of benefits during the statutory notice period (ESA s. 61).</w:t>
      </w:r>
    </w:p>
    <w:p>
      <w:pPr>
        <w:pStyle w:val="Heading2"/>
      </w:pPr>
      <w:r>
        <w:t>11. Common Law Entitlements</w:t>
      </w:r>
    </w:p>
    <w:p>
      <w:r>
        <w:t>[COMPANY NAME] acknowledges that employees may have common law entitlements to reasonable notice of termination (or pay in lieu thereof) that exceed the ESA minimums. These entitlements are determined by the courts based on factors including the employee's age, length of service, character of employment, and the availability of similar employment (Bardal v. Globe &amp; Mail Co., 1960). Termination decisions will be made in consultation with legal counsel to ensure compliance with both the ESA and common law obligations.</w:t>
      </w:r>
    </w:p>
    <w:p>
      <w:pPr>
        <w:pStyle w:val="Heading2"/>
      </w:pPr>
      <w:r>
        <w:t>12. Policy Review</w:t>
      </w:r>
    </w:p>
    <w:p>
      <w:r>
        <w:t>This policy will be reviewed annually by [COMPANY NAME] and updated as necessary to reflect changes in legislation, case law, and best practices.</w:t>
      </w:r>
    </w:p>
    <w:p>
      <w:pPr>
        <w:pStyle w:val="Heading2"/>
      </w:pPr>
      <w:r>
        <w:t>Approval</w:t>
      </w:r>
    </w:p>
    <w:tbl>
      <w:tblPr>
        <w:tblW w:type="auto" w:w="0"/>
        <w:jc w:val="left"/>
        <w:tblLook w:firstColumn="1" w:firstRow="1" w:lastColumn="0" w:lastRow="0" w:noHBand="0" w:noVBand="1" w:val="04A0"/>
      </w:tblPr>
      <w:tblGrid>
        <w:gridCol w:w="2880"/>
        <w:gridCol w:w="2880"/>
        <w:gridCol w:w="2880"/>
      </w:tblGrid>
      <w:tr>
        <w:tc>
          <w:tcPr>
            <w:tcW w:type="dxa" w:w="2880"/>
          </w:tcPr>
          <w:p>
            <w:r>
              <w:rPr>
                <w:rFonts w:ascii="Calibri" w:hAnsi="Calibri"/>
                <w:b/>
                <w:sz w:val="20"/>
              </w:rPr>
              <w:t>Role</w:t>
            </w:r>
          </w:p>
        </w:tc>
        <w:tc>
          <w:tcPr>
            <w:tcW w:type="dxa" w:w="2880"/>
          </w:tcPr>
          <w:p>
            <w:r>
              <w:rPr>
                <w:rFonts w:ascii="Calibri" w:hAnsi="Calibri"/>
                <w:b/>
                <w:sz w:val="20"/>
              </w:rPr>
              <w:t>Name</w:t>
            </w:r>
          </w:p>
        </w:tc>
        <w:tc>
          <w:tcPr>
            <w:tcW w:type="dxa" w:w="2880"/>
          </w:tcPr>
          <w:p>
            <w:r>
              <w:rPr>
                <w:rFonts w:ascii="Calibri" w:hAnsi="Calibri"/>
                <w:b/>
                <w:sz w:val="20"/>
              </w:rPr>
              <w:t>Signature / Date</w:t>
            </w:r>
          </w:p>
        </w:tc>
      </w:tr>
      <w:tr>
        <w:tc>
          <w:tcPr>
            <w:tcW w:type="dxa" w:w="2880"/>
          </w:tcPr>
          <w:p>
            <w:r>
              <w:t>President / CEO</w:t>
            </w:r>
          </w:p>
        </w:tc>
        <w:tc>
          <w:tcPr>
            <w:tcW w:type="dxa" w:w="2880"/>
          </w:tcPr>
          <w:p>
            <w:r>
              <w:t>________________________</w:t>
            </w:r>
          </w:p>
        </w:tc>
        <w:tc>
          <w:tcPr>
            <w:tcW w:type="dxa" w:w="2880"/>
          </w:tcPr>
          <w:p>
            <w:r>
              <w:t>________________________</w:t>
            </w:r>
          </w:p>
        </w:tc>
      </w:tr>
      <w:tr>
        <w:tc>
          <w:tcPr>
            <w:tcW w:type="dxa" w:w="2880"/>
          </w:tcPr>
          <w:p>
            <w:r>
              <w:t>VP, Human Resources</w:t>
            </w:r>
          </w:p>
        </w:tc>
        <w:tc>
          <w:tcPr>
            <w:tcW w:type="dxa" w:w="2880"/>
          </w:tcPr>
          <w:p>
            <w:r>
              <w:t>________________________</w:t>
            </w:r>
          </w:p>
        </w:tc>
        <w:tc>
          <w:tcPr>
            <w:tcW w:type="dxa" w:w="2880"/>
          </w:tcPr>
          <w:p>
            <w:r>
              <w:t>________________________</w:t>
            </w:r>
          </w:p>
        </w:tc>
      </w:tr>
      <w:tr>
        <w:tc>
          <w:tcPr>
            <w:tcW w:type="dxa" w:w="2880"/>
          </w:tcPr>
          <w:p>
            <w:r>
              <w:t>Legal Counsel</w:t>
            </w:r>
          </w:p>
        </w:tc>
        <w:tc>
          <w:tcPr>
            <w:tcW w:type="dxa" w:w="2880"/>
          </w:tcPr>
          <w:p>
            <w:r>
              <w:t>________________________</w:t>
            </w:r>
          </w:p>
        </w:tc>
        <w:tc>
          <w:tcPr>
            <w:tcW w:type="dxa" w:w="2880"/>
          </w:tcPr>
          <w:p>
            <w:r>
              <w:t>________________________</w:t>
            </w:r>
          </w:p>
        </w:tc>
      </w:tr>
    </w:tbl>
    <w:p>
      <w:pPr>
        <w:pStyle w:val="Heading2"/>
      </w:pPr>
      <w:r>
        <w:t>Employee Acknowledgment</w:t>
      </w:r>
    </w:p>
    <w:p>
      <w:r>
        <w:t>I, ________________________ (print name), acknowledge that I have received, read, and understood this policy. I agree to comply with its terms and conditions as a condition of my employment with [COMPANY NAME].</w:t>
      </w:r>
    </w:p>
    <w:p/>
    <w:tbl>
      <w:tblPr>
        <w:tblW w:type="auto" w:w="0"/>
        <w:tblLook w:firstColumn="1" w:firstRow="1" w:lastColumn="0" w:lastRow="0" w:noHBand="0" w:noVBand="1" w:val="04A0"/>
      </w:tblPr>
      <w:tblGrid>
        <w:gridCol w:w="4320"/>
        <w:gridCol w:w="4320"/>
      </w:tblGrid>
      <w:tr>
        <w:tc>
          <w:tcPr>
            <w:tcW w:type="dxa" w:w="4320"/>
          </w:tcPr>
          <w:p>
            <w:r>
              <w:t>Employee Signature: ________________________</w:t>
            </w:r>
          </w:p>
        </w:tc>
        <w:tc>
          <w:tcPr>
            <w:tcW w:type="dxa" w:w="4320"/>
          </w:tcPr>
          <w:p>
            <w:r>
              <w:t>Date: ________________________</w:t>
            </w:r>
          </w:p>
        </w:tc>
      </w:tr>
      <w:tr>
        <w:tc>
          <w:tcPr>
            <w:tcW w:type="dxa" w:w="4320"/>
          </w:tcPr>
          <w:p>
            <w:r>
              <w:t>Employee Name (Print): ________________________</w:t>
            </w:r>
          </w:p>
        </w:tc>
        <w:tc>
          <w:tcPr>
            <w:tcW w:type="dxa" w:w="4320"/>
          </w:tcPr>
          <w:p>
            <w:r>
              <w:t>Employee ID: ________________________</w:t>
            </w:r>
          </w:p>
        </w:tc>
      </w:tr>
      <w:tr>
        <w:tc>
          <w:tcPr>
            <w:tcW w:type="dxa" w:w="4320"/>
          </w:tcPr>
          <w:p>
            <w:r>
              <w:t>Department: ________________________</w:t>
            </w:r>
          </w:p>
        </w:tc>
        <w:tc>
          <w:tcPr>
            <w:tcW w:type="dxa" w:w="4320"/>
          </w:tcPr>
          <w:p>
            <w:r>
              <w:t>Position: ________________________</w:t>
            </w:r>
          </w:p>
        </w:tc>
      </w:tr>
    </w:tbl>
    <w:p/>
    <w:p>
      <w:pPr>
        <w:jc w:val="center"/>
      </w:pPr>
      <w:r>
        <w:rPr>
          <w:i/>
          <w:color w:val="999999"/>
          <w:sz w:val="16"/>
        </w:rPr>
        <w:t>Prepared by [COMPANY NAME] | Progressive Discipline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