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b/>
          <w:color w:val="1A3A5C"/>
          <w:sz w:val="44"/>
        </w:rPr>
        <w:t>[COMPANY NAME]</w:t>
      </w:r>
    </w:p>
    <w:p>
      <w:r>
        <w:rPr>
          <w:rFonts w:ascii="Calibri" w:hAnsi="Calibri"/>
          <w:color w:val="666666"/>
          <w:sz w:val="22"/>
        </w:rPr>
        <w:t>[HEALTHCARE] -- [ONTARIO] -- [OHSA/OSHA]</w:t>
      </w:r>
    </w:p>
    <w:p>
      <w:pPr>
        <w:pStyle w:val="Heading1"/>
      </w:pPr>
      <w:r>
        <w:t>Needle Stick &amp; Sharps Injury Prevention Policy</w:t>
      </w:r>
    </w:p>
    <w:tbl>
      <w:tblPr>
        <w:tblW w:type="auto" w:w="0"/>
        <w:jc w:val="left"/>
        <w:tblLook w:firstColumn="1" w:firstRow="1" w:lastColumn="0" w:lastRow="0" w:noHBand="0" w:noVBand="1" w:val="04A0"/>
      </w:tblPr>
      <w:tblGrid>
        <w:gridCol w:w="4320"/>
        <w:gridCol w:w="4320"/>
      </w:tblGrid>
      <w:tr>
        <w:tc>
          <w:tcPr>
            <w:tcW w:type="dxa" w:w="4320"/>
          </w:tcPr>
          <w:p>
            <w:r/>
            <w:r>
              <w:rPr>
                <w:rFonts w:ascii="Calibri" w:hAnsi="Calibri"/>
                <w:b/>
                <w:sz w:val="20"/>
              </w:rPr>
              <w:t>Policy Number:</w:t>
            </w:r>
          </w:p>
        </w:tc>
        <w:tc>
          <w:tcPr>
            <w:tcW w:type="dxa" w:w="4320"/>
          </w:tcPr>
          <w:p>
            <w:r/>
            <w:r>
              <w:rPr>
                <w:rFonts w:ascii="Calibri" w:hAnsi="Calibri"/>
                <w:sz w:val="20"/>
              </w:rPr>
              <w:t>[POLICY-024]</w:t>
            </w:r>
          </w:p>
        </w:tc>
      </w:tr>
      <w:tr>
        <w:tc>
          <w:tcPr>
            <w:tcW w:type="dxa" w:w="4320"/>
          </w:tcPr>
          <w:p>
            <w:r/>
            <w:r>
              <w:rPr>
                <w:rFonts w:ascii="Calibri" w:hAnsi="Calibri"/>
                <w:b/>
                <w:sz w:val="20"/>
              </w:rPr>
              <w:t>Version:</w:t>
            </w:r>
          </w:p>
        </w:tc>
        <w:tc>
          <w:tcPr>
            <w:tcW w:type="dxa" w:w="4320"/>
          </w:tcPr>
          <w:p>
            <w:r/>
            <w:r>
              <w:rPr>
                <w:rFonts w:ascii="Calibri" w:hAnsi="Calibri"/>
                <w:sz w:val="20"/>
              </w:rPr>
              <w:t>[1.0]</w:t>
            </w:r>
          </w:p>
        </w:tc>
      </w:tr>
      <w:tr>
        <w:tc>
          <w:tcPr>
            <w:tcW w:type="dxa" w:w="4320"/>
          </w:tcPr>
          <w:p>
            <w:r/>
            <w:r>
              <w:rPr>
                <w:rFonts w:ascii="Calibri" w:hAnsi="Calibri"/>
                <w:b/>
                <w:sz w:val="20"/>
              </w:rPr>
              <w:t>Effective Date:</w:t>
            </w:r>
          </w:p>
        </w:tc>
        <w:tc>
          <w:tcPr>
            <w:tcW w:type="dxa" w:w="4320"/>
          </w:tcPr>
          <w:p>
            <w:r/>
            <w:r>
              <w:rPr>
                <w:rFonts w:ascii="Calibri" w:hAnsi="Calibri"/>
                <w:sz w:val="20"/>
              </w:rPr>
              <w:t>[EFFECTIVE DATE]</w:t>
            </w:r>
          </w:p>
        </w:tc>
      </w:tr>
      <w:tr>
        <w:tc>
          <w:tcPr>
            <w:tcW w:type="dxa" w:w="4320"/>
          </w:tcPr>
          <w:p>
            <w:r/>
            <w:r>
              <w:rPr>
                <w:rFonts w:ascii="Calibri" w:hAnsi="Calibri"/>
                <w:b/>
                <w:sz w:val="20"/>
              </w:rPr>
              <w:t>Last Reviewed:</w:t>
            </w:r>
          </w:p>
        </w:tc>
        <w:tc>
          <w:tcPr>
            <w:tcW w:type="dxa" w:w="4320"/>
          </w:tcPr>
          <w:p>
            <w:r/>
            <w:r>
              <w:rPr>
                <w:rFonts w:ascii="Calibri" w:hAnsi="Calibri"/>
                <w:sz w:val="20"/>
              </w:rPr>
              <w:t>[REVIEW DATE]</w:t>
            </w:r>
          </w:p>
        </w:tc>
      </w:tr>
      <w:tr>
        <w:tc>
          <w:tcPr>
            <w:tcW w:type="dxa" w:w="4320"/>
          </w:tcPr>
          <w:p>
            <w:r/>
            <w:r>
              <w:rPr>
                <w:rFonts w:ascii="Calibri" w:hAnsi="Calibri"/>
                <w:b/>
                <w:sz w:val="20"/>
              </w:rPr>
              <w:t>Policy Owner:</w:t>
            </w:r>
          </w:p>
        </w:tc>
        <w:tc>
          <w:tcPr>
            <w:tcW w:type="dxa" w:w="4320"/>
          </w:tcPr>
          <w:p>
            <w:r/>
            <w:r>
              <w:rPr>
                <w:rFonts w:ascii="Calibri" w:hAnsi="Calibri"/>
                <w:sz w:val="20"/>
              </w:rPr>
              <w:t>Occupational Health &amp; Safety Lead / VP, Human Resources</w:t>
            </w:r>
          </w:p>
        </w:tc>
      </w:tr>
    </w:tbl>
    <w:p/>
    <w:p>
      <w:pPr>
        <w:pStyle w:val="Heading2"/>
      </w:pPr>
      <w:r>
        <w:t>1. Purpose</w:t>
      </w:r>
    </w:p>
    <w:p>
      <w:r>
        <w:t>[COMPANY NAME] is committed to eliminating or minimizing the risk of needle stick and sharps injuries to protect all healthcare workers from exposure to bloodborne pathogens. This policy establishes requirements for the safe handling, use, and disposal of sharps, and the post-exposure response protocol, in compliance with the Occupational Health and Safety Act (OHSA) and Ontario Regulation 474/07 (Needle Safety) and the Occupational Safety and Health Administration (OSHA) Bloodborne Pathogens Standard (29 CFR 1910.1030) in applicable United States jurisdictions.</w:t>
      </w:r>
    </w:p>
    <w:p>
      <w:pPr>
        <w:pStyle w:val="Heading2"/>
      </w:pPr>
      <w:r>
        <w:t>2. Scope</w:t>
      </w:r>
    </w:p>
    <w:p>
      <w:r>
        <w:t>This policy applies to all employees, physicians, contractors, students, and volunteers who use, handle, or may come into contact with sharps in the course of their duties at [COMPANY NAME]. Sharps include but are not limited to needles, syringes with attached needles, lancets, scalpel blades, broken glass contaminated with blood or body fluids, and any other device or instrument capable of penetrating the skin.</w:t>
      </w:r>
    </w:p>
    <w:p>
      <w:pPr>
        <w:pStyle w:val="Heading2"/>
      </w:pPr>
      <w:r>
        <w:t>3. Engineered Sharps Safety Devices</w:t>
      </w:r>
    </w:p>
    <w:p>
      <w:r>
        <w:t>In accordance with Ontario Regulation 474/07 s. 3, [COMPANY NAME] shall provide and require the use of safety-engineered sharps devices (also known as sharps with engineered sharps injury protection) wherever commercially available and clinically appropriate. These include:</w:t>
      </w:r>
    </w:p>
    <w:p>
      <w:pPr>
        <w:pStyle w:val="ListBullet"/>
      </w:pPr>
      <w:r>
        <w:t>Retractable needles and self-sheathing needles;</w:t>
      </w:r>
    </w:p>
    <w:p>
      <w:pPr>
        <w:pStyle w:val="ListBullet"/>
      </w:pPr>
      <w:r>
        <w:t>Needleless IV connectors and blunt-tip cannulas;</w:t>
      </w:r>
    </w:p>
    <w:p>
      <w:pPr>
        <w:pStyle w:val="ListBullet"/>
      </w:pPr>
      <w:r>
        <w:t>Safety lancets with retractable or covered blades;</w:t>
      </w:r>
    </w:p>
    <w:p>
      <w:pPr>
        <w:pStyle w:val="ListBullet"/>
      </w:pPr>
      <w:r>
        <w:t>Safety scalpels with retractable or shielded blades;</w:t>
      </w:r>
    </w:p>
    <w:p>
      <w:pPr>
        <w:pStyle w:val="ListBullet"/>
      </w:pPr>
      <w:r>
        <w:t>Self-capping blood collection systems.</w:t>
      </w:r>
    </w:p>
    <w:p>
      <w:r>
        <w:t>Where a safety-engineered device is not available or is clinically contraindicated, a written justification must be documented and approved by the Occupational Health and Safety Lead. An alternative safe handling procedure must be established.</w:t>
      </w:r>
    </w:p>
    <w:p>
      <w:pPr>
        <w:pStyle w:val="Heading2"/>
      </w:pPr>
      <w:r>
        <w:t>4. Safe Handling Practices</w:t>
      </w:r>
    </w:p>
    <w:p>
      <w:r>
        <w:t>All personnel handling sharps must adhere to the following practices at all times:</w:t>
      </w:r>
    </w:p>
    <w:p>
      <w:pPr>
        <w:pStyle w:val="ListBullet"/>
      </w:pPr>
      <w:r>
        <w:t>Never recap a used needle. If recapping is absolutely necessary for a specific clinical procedure (e.g., drawing up medication from multiple vials), use a one-handed scoop technique only;</w:t>
      </w:r>
    </w:p>
    <w:p>
      <w:pPr>
        <w:pStyle w:val="ListBullet"/>
      </w:pPr>
      <w:r>
        <w:t>Never bend, break, or remove needles from syringes by hand;</w:t>
      </w:r>
    </w:p>
    <w:p>
      <w:pPr>
        <w:pStyle w:val="ListBullet"/>
      </w:pPr>
      <w:r>
        <w:t>Never hand-pass sharps from one person to another. Use a neutral zone (e.g., kidney basin, tray) for passing sharps during procedures;</w:t>
      </w:r>
    </w:p>
    <w:p>
      <w:pPr>
        <w:pStyle w:val="ListBullet"/>
      </w:pPr>
      <w:r>
        <w:t>Keep the sharp pointed away from yourself and others during use;</w:t>
      </w:r>
    </w:p>
    <w:p>
      <w:pPr>
        <w:pStyle w:val="ListBullet"/>
      </w:pPr>
      <w:r>
        <w:t>Activate the safety mechanism on engineered sharps safety devices immediately after use, before disposal;</w:t>
      </w:r>
    </w:p>
    <w:p>
      <w:pPr>
        <w:pStyle w:val="ListBullet"/>
      </w:pPr>
      <w:r>
        <w:t>Carry sharps with the sharp end pointed down and away from the body;</w:t>
      </w:r>
    </w:p>
    <w:p>
      <w:pPr>
        <w:pStyle w:val="ListBullet"/>
      </w:pPr>
      <w:r>
        <w:t>Never reach into containers of used sharps.</w:t>
      </w:r>
    </w:p>
    <w:p>
      <w:pPr>
        <w:pStyle w:val="Heading2"/>
      </w:pPr>
      <w:r>
        <w:t>5. Sharps Container Management</w:t>
      </w:r>
    </w:p>
    <w:p>
      <w:pPr>
        <w:pStyle w:val="ListBullet"/>
      </w:pPr>
      <w:r>
        <w:t>Puncture-resistant, leak-proof, labeled sharps containers must be placed at the point of use, within arm's reach of where sharps are used;</w:t>
      </w:r>
    </w:p>
    <w:p>
      <w:pPr>
        <w:pStyle w:val="ListBullet"/>
      </w:pPr>
      <w:r>
        <w:t>Containers must be mounted at a height accessible to users (between waist and eye level) and positioned so that the opening is visible;</w:t>
      </w:r>
    </w:p>
    <w:p>
      <w:pPr>
        <w:pStyle w:val="ListBullet"/>
      </w:pPr>
      <w:r>
        <w:t>Sharps must be disposed of immediately after use directly into the sharps container. Do not place sharps on a surface with the intention of disposing of them later;</w:t>
      </w:r>
    </w:p>
    <w:p>
      <w:pPr>
        <w:pStyle w:val="ListBullet"/>
      </w:pPr>
      <w:r>
        <w:t>Sharps containers must be replaced when they reach the 3/4 fill line. Never attempt to push sharps down or compress the contents;</w:t>
      </w:r>
    </w:p>
    <w:p>
      <w:pPr>
        <w:pStyle w:val="ListBullet"/>
      </w:pPr>
      <w:r>
        <w:t>Filled sharps containers must be securely closed and stored in a designated staging area until collected for disposal by a licensed biomedical waste hauler;</w:t>
      </w:r>
    </w:p>
    <w:p>
      <w:pPr>
        <w:pStyle w:val="ListBullet"/>
      </w:pPr>
      <w:r>
        <w:t>Container replacement schedules must be established and monitored. At minimum, containers should be replaced every 3 months, even if not full, to prevent overfilling.</w:t>
      </w:r>
    </w:p>
    <w:p>
      <w:pPr>
        <w:pStyle w:val="Heading2"/>
      </w:pPr>
      <w:r>
        <w:t>6. Post-Exposure Procedure</w:t>
      </w:r>
    </w:p>
    <w:p>
      <w:r>
        <w:t>In the event of a needle stick or sharps injury, or exposure of mucous membranes or non-intact skin to blood or body fluids, the following steps must be taken immediately:</w:t>
      </w:r>
    </w:p>
    <w:p>
      <w:pPr>
        <w:pStyle w:val="Heading3"/>
      </w:pPr>
      <w:r>
        <w:t>6.1 Immediate First Aid</w:t>
      </w:r>
    </w:p>
    <w:p>
      <w:pPr>
        <w:pStyle w:val="ListBullet"/>
      </w:pPr>
      <w:r>
        <w:t>Percutaneous exposure (needle stick or cut): Allow the wound to bleed freely for a brief period. Wash thoroughly with soap and water for a minimum of 2 minutes. Do NOT squeeze or apply pressure to the wound;</w:t>
      </w:r>
    </w:p>
    <w:p>
      <w:pPr>
        <w:pStyle w:val="ListBullet"/>
      </w:pPr>
      <w:r>
        <w:t>Mucous membrane exposure (eyes, nose, mouth): Flush with water or normal saline for a minimum of 5 minutes;</w:t>
      </w:r>
    </w:p>
    <w:p>
      <w:pPr>
        <w:pStyle w:val="ListBullet"/>
      </w:pPr>
      <w:r>
        <w:t>Non-intact skin exposure: Wash the area thoroughly with soap and water.</w:t>
      </w:r>
    </w:p>
    <w:p>
      <w:pPr>
        <w:pStyle w:val="Heading3"/>
      </w:pPr>
      <w:r>
        <w:t>6.2 Reporting and Assessment</w:t>
      </w:r>
    </w:p>
    <w:p>
      <w:pPr>
        <w:pStyle w:val="ListBullet"/>
      </w:pPr>
      <w:r>
        <w:t>Report the exposure to your immediate supervisor within 15 minutes of the incident;</w:t>
      </w:r>
    </w:p>
    <w:p>
      <w:pPr>
        <w:pStyle w:val="ListBullet"/>
      </w:pPr>
      <w:r>
        <w:t>Proceed to Occupational Health (during business hours) or the Emergency Department (after hours) within 2 hours of the exposure for medical assessment;</w:t>
      </w:r>
    </w:p>
    <w:p>
      <w:pPr>
        <w:pStyle w:val="ListBullet"/>
      </w:pPr>
      <w:r>
        <w:t>Baseline bloodwork will be drawn from the exposed worker (HIV, Hepatitis B, Hepatitis C);</w:t>
      </w:r>
    </w:p>
    <w:p>
      <w:pPr>
        <w:pStyle w:val="ListBullet"/>
      </w:pPr>
      <w:r>
        <w:t>Source patient testing: With the source patient's informed consent, the source patient will be tested for HIV, Hepatitis B (HBsAg), and Hepatitis C (anti-HCV). If the source patient is unknown or refuses testing, the exposure will be treated as high-risk.</w:t>
      </w:r>
    </w:p>
    <w:p>
      <w:pPr>
        <w:pStyle w:val="Heading3"/>
      </w:pPr>
      <w:r>
        <w:t>6.3 Post-Exposure Prophylaxis (PEP)</w:t>
      </w:r>
    </w:p>
    <w:p>
      <w:pPr>
        <w:pStyle w:val="ListBullet"/>
      </w:pPr>
      <w:r>
        <w:t>HIV PEP must be assessed and initiated within 72 hours of exposure if indicated. Earlier initiation (within 2 hours) is associated with greater effectiveness;</w:t>
      </w:r>
    </w:p>
    <w:p>
      <w:pPr>
        <w:pStyle w:val="ListBullet"/>
      </w:pPr>
      <w:r>
        <w:t>Hepatitis B immunoglobulin (HBIG) must be administered within 48 hours if the exposed worker is non-immune and the source is HBsAg positive or unknown;</w:t>
      </w:r>
    </w:p>
    <w:p>
      <w:pPr>
        <w:pStyle w:val="ListBullet"/>
      </w:pPr>
      <w:r>
        <w:t>The PEP regimen, monitoring, and follow-up will be managed by Occupational Health or the treating physician in consultation with an infectious disease specialist if required.</w:t>
      </w:r>
    </w:p>
    <w:p>
      <w:pPr>
        <w:pStyle w:val="Heading3"/>
      </w:pPr>
      <w:r>
        <w:t>6.4 Follow-Up Testing</w:t>
      </w:r>
    </w:p>
    <w:p>
      <w:pPr>
        <w:pStyle w:val="ListBullet"/>
      </w:pPr>
      <w:r>
        <w:t>Follow-up bloodwork at 6 weeks, 3 months, and 6 months post-exposure;</w:t>
      </w:r>
    </w:p>
    <w:p>
      <w:pPr>
        <w:pStyle w:val="ListBullet"/>
      </w:pPr>
      <w:r>
        <w:t>Additional testing as recommended by Occupational Health or the treating physician;</w:t>
      </w:r>
    </w:p>
    <w:p>
      <w:pPr>
        <w:pStyle w:val="ListBullet"/>
      </w:pPr>
      <w:r>
        <w:t>All results are confidential and maintained in the worker's occupational health file, separate from the general personnel file.</w:t>
      </w:r>
    </w:p>
    <w:p>
      <w:pPr>
        <w:pStyle w:val="Heading2"/>
      </w:pPr>
      <w:r>
        <w:t>7. WSIB Reporting</w:t>
      </w:r>
    </w:p>
    <w:p>
      <w:r>
        <w:t>All needle stick and sharps injuries are reportable to the Workplace Safety and Insurance Board (WSIB) in Ontario. [COMPANY NAME] will:</w:t>
      </w:r>
    </w:p>
    <w:p>
      <w:pPr>
        <w:pStyle w:val="ListBullet"/>
      </w:pPr>
      <w:r>
        <w:t>File a Form 7 (Employer's Report of Injury/Disease) within 3 business days of learning of the injury;</w:t>
      </w:r>
    </w:p>
    <w:p>
      <w:pPr>
        <w:pStyle w:val="ListBullet"/>
      </w:pPr>
      <w:r>
        <w:t>Provide the injured worker with a copy of the Form 7;</w:t>
      </w:r>
    </w:p>
    <w:p>
      <w:pPr>
        <w:pStyle w:val="ListBullet"/>
      </w:pPr>
      <w:r>
        <w:t>Cooperate with the WSIB claims process and return-to-work obligations;</w:t>
      </w:r>
    </w:p>
    <w:p>
      <w:pPr>
        <w:pStyle w:val="ListBullet"/>
      </w:pPr>
      <w:r>
        <w:t>Maintain records of all sharps injuries for a minimum of 30 years.</w:t>
      </w:r>
    </w:p>
    <w:p>
      <w:pPr>
        <w:pStyle w:val="Heading2"/>
      </w:pPr>
      <w:r>
        <w:t>8. Incident Investigation</w:t>
      </w:r>
    </w:p>
    <w:p>
      <w:r>
        <w:t>Every needle stick and sharps injury must be investigated to identify root causes and implement corrective actions. The investigation must address:</w:t>
      </w:r>
    </w:p>
    <w:p>
      <w:pPr>
        <w:pStyle w:val="ListBullet"/>
      </w:pPr>
      <w:r>
        <w:t>Was a safety-engineered device available for the task? If yes, was it used? If not, why not?</w:t>
      </w:r>
    </w:p>
    <w:p>
      <w:pPr>
        <w:pStyle w:val="ListBullet"/>
      </w:pPr>
      <w:r>
        <w:t>Was the safety mechanism activated before disposal?</w:t>
      </w:r>
    </w:p>
    <w:p>
      <w:pPr>
        <w:pStyle w:val="ListBullet"/>
      </w:pPr>
      <w:r>
        <w:t>Was a sharps container accessible at the point of use?</w:t>
      </w:r>
    </w:p>
    <w:p>
      <w:pPr>
        <w:pStyle w:val="ListBullet"/>
      </w:pPr>
      <w:r>
        <w:t>Was the sharps container overfull?</w:t>
      </w:r>
    </w:p>
    <w:p>
      <w:pPr>
        <w:pStyle w:val="ListBullet"/>
      </w:pPr>
      <w:r>
        <w:t>Was there a system failure (e.g., no safety device available, inadequate training, time pressure, understaffing)?</w:t>
      </w:r>
    </w:p>
    <w:p>
      <w:pPr>
        <w:pStyle w:val="ListBullet"/>
      </w:pPr>
      <w:r>
        <w:t>Was the worker following safe handling procedures?</w:t>
      </w:r>
    </w:p>
    <w:p>
      <w:r>
        <w:t>Investigation findings must be shared (without identifying the injured worker) with the Joint Health and Safety Committee (JHSC) and used to inform corrective actions and system improvements.</w:t>
      </w:r>
    </w:p>
    <w:p>
      <w:pPr>
        <w:pStyle w:val="Heading2"/>
      </w:pPr>
      <w:r>
        <w:t>9. Training Requirements</w:t>
      </w:r>
    </w:p>
    <w:p>
      <w:pPr>
        <w:pStyle w:val="ListBullet"/>
      </w:pPr>
      <w:r>
        <w:t>All staff who handle or may come into contact with sharps must complete sharps safety training at the time of hire, including the proper use of engineered sharps safety devices, safe handling techniques, disposal procedures, and post-exposure protocol;</w:t>
      </w:r>
    </w:p>
    <w:p>
      <w:pPr>
        <w:pStyle w:val="ListBullet"/>
      </w:pPr>
      <w:r>
        <w:t>Annual refresher training is mandatory for all staff who handle sharps;</w:t>
      </w:r>
    </w:p>
    <w:p>
      <w:pPr>
        <w:pStyle w:val="ListBullet"/>
      </w:pPr>
      <w:r>
        <w:t>Additional training must be provided after any sharps injury incident (for the injured worker and, where applicable, for the unit/department);</w:t>
      </w:r>
    </w:p>
    <w:p>
      <w:pPr>
        <w:pStyle w:val="ListBullet"/>
      </w:pPr>
      <w:r>
        <w:t>Training completion must be documented and retained.</w:t>
      </w:r>
    </w:p>
    <w:p>
      <w:pPr>
        <w:pStyle w:val="Heading2"/>
      </w:pPr>
      <w:r>
        <w:t>10. Policy Review</w:t>
      </w:r>
    </w:p>
    <w:p>
      <w:r>
        <w:t>This policy shall be reviewed at least annually by the Occupational Health and Safety Lead and VP, Human Resources, in consultation with the JHSC, and updated as required to reflect changes in legislation, best practices, or available safety-engineered devices.</w:t>
      </w:r>
    </w:p>
    <w:p>
      <w:pPr>
        <w:pStyle w:val="Heading2"/>
      </w:pPr>
      <w:r>
        <w:t>Approval</w:t>
      </w:r>
    </w:p>
    <w:tbl>
      <w:tblPr>
        <w:tblW w:type="auto" w:w="0"/>
        <w:jc w:val="left"/>
        <w:tblLook w:firstColumn="1" w:firstRow="1" w:lastColumn="0" w:lastRow="0" w:noHBand="0" w:noVBand="1" w:val="04A0"/>
      </w:tblPr>
      <w:tblGrid>
        <w:gridCol w:w="2880"/>
        <w:gridCol w:w="2880"/>
        <w:gridCol w:w="2880"/>
      </w:tblGrid>
      <w:tr>
        <w:tc>
          <w:tcPr>
            <w:tcW w:type="dxa" w:w="2880"/>
          </w:tcPr>
          <w:p>
            <w:r/>
            <w:r>
              <w:rPr>
                <w:rFonts w:ascii="Calibri" w:hAnsi="Calibri"/>
                <w:b/>
                <w:sz w:val="20"/>
              </w:rPr>
              <w:t>Role</w:t>
            </w:r>
          </w:p>
        </w:tc>
        <w:tc>
          <w:tcPr>
            <w:tcW w:type="dxa" w:w="2880"/>
          </w:tcPr>
          <w:p>
            <w:r/>
            <w:r>
              <w:rPr>
                <w:rFonts w:ascii="Calibri" w:hAnsi="Calibri"/>
                <w:b/>
                <w:sz w:val="20"/>
              </w:rPr>
              <w:t>Name</w:t>
            </w:r>
          </w:p>
        </w:tc>
        <w:tc>
          <w:tcPr>
            <w:tcW w:type="dxa" w:w="2880"/>
          </w:tcPr>
          <w:p>
            <w:r/>
            <w:r>
              <w:rPr>
                <w:rFonts w:ascii="Calibri" w:hAnsi="Calibri"/>
                <w:b/>
                <w:sz w:val="20"/>
              </w:rPr>
              <w:t>Signature / Date</w:t>
            </w:r>
          </w:p>
        </w:tc>
      </w:tr>
      <w:tr>
        <w:tc>
          <w:tcPr>
            <w:tcW w:type="dxa" w:w="2880"/>
          </w:tcPr>
          <w:p>
            <w:r>
              <w:rPr>
                <w:rFonts w:ascii="Calibri" w:hAnsi="Calibri"/>
                <w:sz w:val="20"/>
              </w:rPr>
              <w:t>President / CEO</w:t>
            </w:r>
          </w:p>
        </w:tc>
        <w:tc>
          <w:tcPr>
            <w:tcW w:type="dxa" w:w="2880"/>
          </w:tcPr>
          <w:p>
            <w:r>
              <w:rPr>
                <w:rFonts w:ascii="Calibri" w:hAnsi="Calibri"/>
                <w:sz w:val="20"/>
              </w:rPr>
              <w:t>________________________</w:t>
            </w:r>
          </w:p>
        </w:tc>
        <w:tc>
          <w:tcPr>
            <w:tcW w:type="dxa" w:w="2880"/>
          </w:tcPr>
          <w:p>
            <w:r>
              <w:rPr>
                <w:rFonts w:ascii="Calibri" w:hAnsi="Calibri"/>
                <w:sz w:val="20"/>
              </w:rPr>
              <w:t>________________________</w:t>
            </w:r>
          </w:p>
        </w:tc>
      </w:tr>
      <w:tr>
        <w:tc>
          <w:tcPr>
            <w:tcW w:type="dxa" w:w="2880"/>
          </w:tcPr>
          <w:p>
            <w:r>
              <w:rPr>
                <w:rFonts w:ascii="Calibri" w:hAnsi="Calibri"/>
                <w:sz w:val="20"/>
              </w:rPr>
              <w:t>VP, Human Resources</w:t>
            </w:r>
          </w:p>
        </w:tc>
        <w:tc>
          <w:tcPr>
            <w:tcW w:type="dxa" w:w="2880"/>
          </w:tcPr>
          <w:p>
            <w:r>
              <w:rPr>
                <w:rFonts w:ascii="Calibri" w:hAnsi="Calibri"/>
                <w:sz w:val="20"/>
              </w:rPr>
              <w:t>________________________</w:t>
            </w:r>
          </w:p>
        </w:tc>
        <w:tc>
          <w:tcPr>
            <w:tcW w:type="dxa" w:w="2880"/>
          </w:tcPr>
          <w:p>
            <w:r>
              <w:rPr>
                <w:rFonts w:ascii="Calibri" w:hAnsi="Calibri"/>
                <w:sz w:val="20"/>
              </w:rPr>
              <w:t>________________________</w:t>
            </w:r>
          </w:p>
        </w:tc>
      </w:tr>
      <w:tr>
        <w:tc>
          <w:tcPr>
            <w:tcW w:type="dxa" w:w="2880"/>
          </w:tcPr>
          <w:p>
            <w:r>
              <w:rPr>
                <w:rFonts w:ascii="Calibri" w:hAnsi="Calibri"/>
                <w:sz w:val="20"/>
              </w:rPr>
              <w:t>Legal Counsel</w:t>
            </w:r>
          </w:p>
        </w:tc>
        <w:tc>
          <w:tcPr>
            <w:tcW w:type="dxa" w:w="2880"/>
          </w:tcPr>
          <w:p>
            <w:r>
              <w:rPr>
                <w:rFonts w:ascii="Calibri" w:hAnsi="Calibri"/>
                <w:sz w:val="20"/>
              </w:rPr>
              <w:t>________________________</w:t>
            </w:r>
          </w:p>
        </w:tc>
        <w:tc>
          <w:tcPr>
            <w:tcW w:type="dxa" w:w="2880"/>
          </w:tcPr>
          <w:p>
            <w:r>
              <w:rPr>
                <w:rFonts w:ascii="Calibri" w:hAnsi="Calibri"/>
                <w:sz w:val="20"/>
              </w:rPr>
              <w:t>________________________</w:t>
            </w:r>
          </w:p>
        </w:tc>
      </w:tr>
    </w:tbl>
    <w:p>
      <w:pPr>
        <w:pStyle w:val="Heading2"/>
      </w:pPr>
      <w:r>
        <w:t>Employee Acknowledgment</w:t>
      </w:r>
    </w:p>
    <w:p>
      <w:r>
        <w:t>I, ________________________ (print name), acknowledge that I have received, read, and understood this Needle Stick &amp; Sharps Injury Prevention Policy. I agree to comply with the requirements and standards set out in this policy as a condition of my employment with [COMPANY NAME].</w:t>
      </w:r>
    </w:p>
    <w:p/>
    <w:tbl>
      <w:tblPr>
        <w:tblW w:type="auto" w:w="0"/>
        <w:jc w:val="left"/>
        <w:tblLook w:firstColumn="1" w:firstRow="1" w:lastColumn="0" w:lastRow="0" w:noHBand="0" w:noVBand="1" w:val="04A0"/>
      </w:tblPr>
      <w:tblGrid>
        <w:gridCol w:w="4320"/>
        <w:gridCol w:w="4320"/>
      </w:tblGrid>
      <w:tr>
        <w:tc>
          <w:tcPr>
            <w:tcW w:type="dxa" w:w="4320"/>
          </w:tcPr>
          <w:p>
            <w:r>
              <w:rPr>
                <w:rFonts w:ascii="Calibri" w:hAnsi="Calibri"/>
                <w:sz w:val="20"/>
              </w:rPr>
              <w:t>Employee Signature: _________________________</w:t>
            </w:r>
          </w:p>
        </w:tc>
        <w:tc>
          <w:tcPr>
            <w:tcW w:type="dxa" w:w="4320"/>
          </w:tcPr>
          <w:p>
            <w:r>
              <w:rPr>
                <w:rFonts w:ascii="Calibri" w:hAnsi="Calibri"/>
                <w:sz w:val="20"/>
              </w:rPr>
              <w:t>Date: ________________________</w:t>
            </w:r>
          </w:p>
        </w:tc>
      </w:tr>
      <w:tr>
        <w:tc>
          <w:tcPr>
            <w:tcW w:type="dxa" w:w="4320"/>
          </w:tcPr>
          <w:p>
            <w:r>
              <w:rPr>
                <w:rFonts w:ascii="Calibri" w:hAnsi="Calibri"/>
                <w:sz w:val="20"/>
              </w:rPr>
              <w:t>Employee Name (Print): ______________________</w:t>
            </w:r>
          </w:p>
        </w:tc>
        <w:tc>
          <w:tcPr>
            <w:tcW w:type="dxa" w:w="4320"/>
          </w:tcPr>
          <w:p>
            <w:r>
              <w:rPr>
                <w:rFonts w:ascii="Calibri" w:hAnsi="Calibri"/>
                <w:sz w:val="20"/>
              </w:rPr>
              <w:t>Employee ID: _________________</w:t>
            </w:r>
          </w:p>
        </w:tc>
      </w:tr>
      <w:tr>
        <w:tc>
          <w:tcPr>
            <w:tcW w:type="dxa" w:w="4320"/>
          </w:tcPr>
          <w:p>
            <w:r>
              <w:rPr>
                <w:rFonts w:ascii="Calibri" w:hAnsi="Calibri"/>
                <w:sz w:val="20"/>
              </w:rPr>
              <w:t>Department: _________________________________</w:t>
            </w:r>
          </w:p>
        </w:tc>
        <w:tc>
          <w:tcPr>
            <w:tcW w:type="dxa" w:w="4320"/>
          </w:tcPr>
          <w:p>
            <w:r>
              <w:rPr>
                <w:rFonts w:ascii="Calibri" w:hAnsi="Calibri"/>
                <w:sz w:val="20"/>
              </w:rPr>
              <w:t>Position: ____________________</w:t>
            </w:r>
          </w:p>
        </w:tc>
      </w:tr>
    </w:tbl>
    <w:p/>
    <w:p/>
    <w:p>
      <w:pPr>
        <w:jc w:val="center"/>
      </w:pPr>
      <w:r>
        <w:rPr>
          <w:rFonts w:ascii="Calibri" w:hAnsi="Calibri"/>
          <w:color w:val="666666"/>
          <w:sz w:val="18"/>
        </w:rPr>
        <w:t>Prepared by [COMPANY NAME] | Needle Stick &amp; Sharps Injury Prevention Policy | [DATE]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A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A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A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color w:val="333333"/>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