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A5C"/>
          <w:sz w:val="56"/>
        </w:rPr>
        <w:t>PROFESSIONAL SERVICES SOP PACK</w:t>
      </w:r>
    </w:p>
    <w:p>
      <w:pPr>
        <w:jc w:val="center"/>
      </w:pPr>
      <w:r>
        <w:rPr>
          <w:color w:val="2C7BE5"/>
          <w:sz w:val="28"/>
        </w:rPr>
        <w:t>5 Standard Operating Procedures for Service-Based Organizations</w:t>
      </w:r>
    </w:p>
    <w:p/>
    <w:p>
      <w:pPr>
        <w:jc w:val="center"/>
      </w:pPr>
      <w:r>
        <w:rPr>
          <w:sz w:val="22"/>
        </w:rPr>
        <w:t>SOP-PS-001: Client Onboarding</w:t>
        <w:br/>
        <w:t>SOP-PS-002: Document &amp; File Management</w:t>
        <w:br/>
        <w:t>SOP-PS-003: Client Deliverable Review &amp; QA</w:t>
        <w:br/>
        <w:t>SOP-PS-004: Invoicing &amp; Accounts Receivable</w:t>
        <w:br/>
        <w:t>SOP-PS-005: Confidential Information Handling</w:t>
      </w:r>
    </w:p>
    <w:p>
      <w:pPr>
        <w:jc w:val="center"/>
      </w:pPr>
      <w:r>
        <w:rPr>
          <w:i/>
          <w:color w:val="2C7BE5"/>
          <w:sz w:val="18"/>
        </w:rPr>
        <w:br/>
        <w:br/>
        <w:t>Built with Pure Work AI</w:t>
      </w:r>
    </w:p>
    <w:p>
      <w:r>
        <w:br w:type="page"/>
      </w:r>
    </w:p>
    <w:p>
      <w:pPr>
        <w:pStyle w:val="Heading1"/>
      </w:pPr>
      <w:r>
        <w:rPr>
          <w:rFonts w:ascii="Calibri" w:hAnsi="Calibri"/>
          <w:color w:val="1A3A5C"/>
        </w:rPr>
        <w:t>SOP-PS-001: Client Onboarding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SOP-PS-001</w:t>
            </w:r>
          </w:p>
        </w:tc>
      </w:tr>
      <w:tr>
        <w:tc>
          <w:tcPr>
            <w:tcW w:type="dxa" w:w="4703"/>
          </w:tcPr>
          <w:p>
            <w:r/>
            <w:r>
              <w:rPr>
                <w:rFonts w:ascii="Calibri" w:hAnsi="Calibri"/>
                <w:b/>
                <w:sz w:val="20"/>
              </w:rPr>
              <w:t>Title</w:t>
            </w:r>
          </w:p>
        </w:tc>
        <w:tc>
          <w:tcPr>
            <w:tcW w:type="dxa" w:w="4703"/>
          </w:tcPr>
          <w:p>
            <w:r/>
            <w:r>
              <w:rPr>
                <w:rFonts w:ascii="Calibri" w:hAnsi="Calibri"/>
                <w:sz w:val="20"/>
              </w:rPr>
              <w:t>Client Onboarding</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Client Services / Operations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consistent, professional process for onboarding new clients from initial engagement through project kickoff, ensuring all legal, financial, and operational prerequisites are completed before work begins.</w:t>
      </w:r>
    </w:p>
    <w:p>
      <w:pPr>
        <w:pStyle w:val="Heading2"/>
      </w:pPr>
      <w:r>
        <w:rPr>
          <w:rFonts w:ascii="Calibri" w:hAnsi="Calibri"/>
          <w:color w:val="1A3A5C"/>
        </w:rPr>
        <w:t>2. Scope</w:t>
      </w:r>
    </w:p>
    <w:p>
      <w:r>
        <w:rPr>
          <w:rFonts w:ascii="Calibri" w:hAnsi="Calibri"/>
          <w:b w:val="0"/>
          <w:i w:val="0"/>
          <w:sz w:val="20"/>
        </w:rPr>
        <w:t>This SOP applies to all new client engagements across consulting, advisory, and managed service offerings. It covers the period from signed proposal/letter of engagement through the first 30 days of active service delivery.</w:t>
      </w:r>
    </w:p>
    <w:p>
      <w:pPr>
        <w:pStyle w:val="Heading2"/>
      </w:pPr>
      <w:r>
        <w:rPr>
          <w:rFonts w:ascii="Calibri" w:hAnsi="Calibri"/>
          <w:color w:val="1A3A5C"/>
        </w:rPr>
        <w:t>3. Responsibilities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Role</w:t>
            </w:r>
          </w:p>
        </w:tc>
        <w:tc>
          <w:tcPr>
            <w:tcW w:type="dxa" w:w="4703"/>
            <w:shd w:fill="1A3A5C"/>
          </w:tcPr>
          <w:p>
            <w:r>
              <w:rPr>
                <w:b/>
                <w:color w:val="FFFFFF"/>
                <w:sz w:val="20"/>
              </w:rPr>
              <w:t>Responsibility</w:t>
            </w:r>
          </w:p>
        </w:tc>
      </w:tr>
      <w:tr>
        <w:tc>
          <w:tcPr>
            <w:tcW w:type="dxa" w:w="4703"/>
          </w:tcPr>
          <w:p>
            <w:r/>
            <w:r>
              <w:rPr>
                <w:rFonts w:ascii="Calibri" w:hAnsi="Calibri"/>
                <w:sz w:val="20"/>
              </w:rPr>
              <w:t>Account Executive / Sales</w:t>
            </w:r>
          </w:p>
        </w:tc>
        <w:tc>
          <w:tcPr>
            <w:tcW w:type="dxa" w:w="4703"/>
          </w:tcPr>
          <w:p>
            <w:r/>
            <w:r>
              <w:rPr>
                <w:rFonts w:ascii="Calibri" w:hAnsi="Calibri"/>
                <w:sz w:val="20"/>
              </w:rPr>
              <w:t>Initiate onboarding; provide signed engagement letter and client details</w:t>
            </w:r>
          </w:p>
        </w:tc>
      </w:tr>
      <w:tr>
        <w:tc>
          <w:tcPr>
            <w:tcW w:type="dxa" w:w="4703"/>
          </w:tcPr>
          <w:p>
            <w:r/>
            <w:r>
              <w:rPr>
                <w:rFonts w:ascii="Calibri" w:hAnsi="Calibri"/>
                <w:sz w:val="20"/>
              </w:rPr>
              <w:t>Client Services Manager</w:t>
            </w:r>
          </w:p>
        </w:tc>
        <w:tc>
          <w:tcPr>
            <w:tcW w:type="dxa" w:w="4703"/>
          </w:tcPr>
          <w:p>
            <w:r/>
            <w:r>
              <w:rPr>
                <w:rFonts w:ascii="Calibri" w:hAnsi="Calibri"/>
                <w:sz w:val="20"/>
              </w:rPr>
              <w:t>Own the onboarding process end-to-end; serve as primary client contact</w:t>
            </w:r>
          </w:p>
        </w:tc>
      </w:tr>
      <w:tr>
        <w:tc>
          <w:tcPr>
            <w:tcW w:type="dxa" w:w="4703"/>
          </w:tcPr>
          <w:p>
            <w:r/>
            <w:r>
              <w:rPr>
                <w:rFonts w:ascii="Calibri" w:hAnsi="Calibri"/>
                <w:sz w:val="20"/>
              </w:rPr>
              <w:t>Legal / Compliance</w:t>
            </w:r>
          </w:p>
        </w:tc>
        <w:tc>
          <w:tcPr>
            <w:tcW w:type="dxa" w:w="4703"/>
          </w:tcPr>
          <w:p>
            <w:r/>
            <w:r>
              <w:rPr>
                <w:rFonts w:ascii="Calibri" w:hAnsi="Calibri"/>
                <w:sz w:val="20"/>
              </w:rPr>
              <w:t>Review and finalize NDA, MSA, and engagement terms</w:t>
            </w:r>
          </w:p>
        </w:tc>
      </w:tr>
      <w:tr>
        <w:tc>
          <w:tcPr>
            <w:tcW w:type="dxa" w:w="4703"/>
          </w:tcPr>
          <w:p>
            <w:r/>
            <w:r>
              <w:rPr>
                <w:rFonts w:ascii="Calibri" w:hAnsi="Calibri"/>
                <w:sz w:val="20"/>
              </w:rPr>
              <w:t>Finance / Billing</w:t>
            </w:r>
          </w:p>
        </w:tc>
        <w:tc>
          <w:tcPr>
            <w:tcW w:type="dxa" w:w="4703"/>
          </w:tcPr>
          <w:p>
            <w:r/>
            <w:r>
              <w:rPr>
                <w:rFonts w:ascii="Calibri" w:hAnsi="Calibri"/>
                <w:sz w:val="20"/>
              </w:rPr>
              <w:t>Set up client in billing system; issue first invoice</w:t>
            </w:r>
          </w:p>
        </w:tc>
      </w:tr>
      <w:tr>
        <w:tc>
          <w:tcPr>
            <w:tcW w:type="dxa" w:w="4703"/>
          </w:tcPr>
          <w:p>
            <w:r/>
            <w:r>
              <w:rPr>
                <w:rFonts w:ascii="Calibri" w:hAnsi="Calibri"/>
                <w:sz w:val="20"/>
              </w:rPr>
              <w:t>Project Manager</w:t>
            </w:r>
          </w:p>
        </w:tc>
        <w:tc>
          <w:tcPr>
            <w:tcW w:type="dxa" w:w="4703"/>
          </w:tcPr>
          <w:p>
            <w:r/>
            <w:r>
              <w:rPr>
                <w:rFonts w:ascii="Calibri" w:hAnsi="Calibri"/>
                <w:sz w:val="20"/>
              </w:rPr>
              <w:t>Build project plan; schedule kickoff; establish communication cadence</w:t>
            </w:r>
          </w:p>
        </w:tc>
      </w:tr>
      <w:tr>
        <w:tc>
          <w:tcPr>
            <w:tcW w:type="dxa" w:w="4703"/>
          </w:tcPr>
          <w:p>
            <w:r/>
            <w:r>
              <w:rPr>
                <w:rFonts w:ascii="Calibri" w:hAnsi="Calibri"/>
                <w:sz w:val="20"/>
              </w:rPr>
              <w:t>IT / Systems Admin</w:t>
            </w:r>
          </w:p>
        </w:tc>
        <w:tc>
          <w:tcPr>
            <w:tcW w:type="dxa" w:w="4703"/>
          </w:tcPr>
          <w:p>
            <w:r/>
            <w:r>
              <w:rPr>
                <w:rFonts w:ascii="Calibri" w:hAnsi="Calibri"/>
                <w:sz w:val="20"/>
              </w:rPr>
              <w:t>Provision client folder structure, access credentials, and collaboration tools</w:t>
            </w:r>
          </w:p>
        </w:tc>
      </w:tr>
    </w:tbl>
    <w:p/>
    <w:p>
      <w:pPr>
        <w:pStyle w:val="Heading2"/>
      </w:pPr>
      <w:r>
        <w:rPr>
          <w:rFonts w:ascii="Calibri" w:hAnsi="Calibri"/>
          <w:color w:val="1A3A5C"/>
        </w:rPr>
        <w:t>4. Procedure</w:t>
      </w:r>
    </w:p>
    <w:p>
      <w:r>
        <w:rPr>
          <w:rFonts w:ascii="Calibri" w:hAnsi="Calibri"/>
          <w:b/>
          <w:i w:val="0"/>
          <w:sz w:val="20"/>
        </w:rPr>
        <w:t>4.1 Engagement Letter &amp; Legal Setup (Days 1-3)</w:t>
      </w:r>
    </w:p>
    <w:p>
      <w:r>
        <w:rPr>
          <w:rFonts w:ascii="Calibri" w:hAnsi="Calibri"/>
          <w:b w:val="0"/>
          <w:i w:val="0"/>
          <w:sz w:val="20"/>
        </w:rPr>
        <w:t xml:space="preserve">  1. Account Executive completes the Client Intake Form (Form CS-001) with: company name, primary contact, billing address, engagement type, estimated value, and start date.</w:t>
      </w:r>
    </w:p>
    <w:p>
      <w:r>
        <w:rPr>
          <w:rFonts w:ascii="Calibri" w:hAnsi="Calibri"/>
          <w:b w:val="0"/>
          <w:i w:val="0"/>
          <w:sz w:val="20"/>
        </w:rPr>
        <w:t xml:space="preserve">  2. Client Services Manager sends the client the Engagement Letter for signature. Use the approved template from the Legal folder.</w:t>
      </w:r>
    </w:p>
    <w:p>
      <w:r>
        <w:rPr>
          <w:rFonts w:ascii="Calibri" w:hAnsi="Calibri"/>
          <w:b w:val="0"/>
          <w:i w:val="0"/>
          <w:sz w:val="20"/>
        </w:rPr>
        <w:t xml:space="preserve">  3. Simultaneously send the Non-Disclosure Agreement (NDA) for mutual signature. Use the standard bilateral NDA template unless client requires their own form.</w:t>
      </w:r>
    </w:p>
    <w:p>
      <w:r>
        <w:rPr>
          <w:rFonts w:ascii="Calibri" w:hAnsi="Calibri"/>
          <w:b w:val="0"/>
          <w:i w:val="0"/>
          <w:sz w:val="20"/>
        </w:rPr>
        <w:t xml:space="preserve">  4. IF the client provides their own NDA or contract: route to Legal for review. Do not sign without Legal approval.</w:t>
      </w:r>
    </w:p>
    <w:p>
      <w:r>
        <w:rPr>
          <w:rFonts w:ascii="Calibri" w:hAnsi="Calibri"/>
          <w:b w:val="0"/>
          <w:i w:val="0"/>
          <w:sz w:val="20"/>
        </w:rPr>
        <w:t xml:space="preserve">  5. Upon receiving signed Engagement Letter and NDA, create the client record in the CRM system.</w:t>
      </w:r>
    </w:p>
    <w:p>
      <w:r>
        <w:rPr>
          <w:rFonts w:ascii="Calibri" w:hAnsi="Calibri"/>
          <w:b w:val="0"/>
          <w:i w:val="0"/>
          <w:sz w:val="20"/>
        </w:rPr>
        <w:t xml:space="preserve">  6. Assign a unique Client ID (format: CLI-YYYY-####) and project code for time tracking.</w:t>
      </w:r>
    </w:p>
    <w:p>
      <w:r>
        <w:rPr>
          <w:rFonts w:ascii="Calibri" w:hAnsi="Calibri"/>
          <w:b/>
          <w:i w:val="0"/>
          <w:sz w:val="20"/>
        </w:rPr>
        <w:t>4.2 Data Collection &amp; Access Setup (Days 3-5)</w:t>
      </w:r>
    </w:p>
    <w:p>
      <w:r>
        <w:rPr>
          <w:rFonts w:ascii="Calibri" w:hAnsi="Calibri"/>
          <w:b w:val="0"/>
          <w:i w:val="0"/>
          <w:sz w:val="20"/>
        </w:rPr>
        <w:t xml:space="preserve">  1. Send the Client Information Package (Form CS-002) requesting: org chart, key stakeholders, IT contacts, existing documentation, and system access credentials (if applicable).</w:t>
      </w:r>
    </w:p>
    <w:p>
      <w:r>
        <w:rPr>
          <w:rFonts w:ascii="Calibri" w:hAnsi="Calibri"/>
          <w:b w:val="0"/>
          <w:i w:val="0"/>
          <w:sz w:val="20"/>
        </w:rPr>
        <w:t xml:space="preserve">  2. IT creates the client folder structure in the document management system (see SOP-PS-002 for naming conventions).</w:t>
      </w:r>
    </w:p>
    <w:p>
      <w:r>
        <w:rPr>
          <w:rFonts w:ascii="Calibri" w:hAnsi="Calibri"/>
          <w:b w:val="0"/>
          <w:i w:val="0"/>
          <w:sz w:val="20"/>
        </w:rPr>
        <w:t xml:space="preserve">  3. Set up the client in the billing/invoicing system with approved rates, payment terms, and billing contact.</w:t>
      </w:r>
    </w:p>
    <w:p>
      <w:r>
        <w:rPr>
          <w:rFonts w:ascii="Calibri" w:hAnsi="Calibri"/>
          <w:b w:val="0"/>
          <w:i w:val="0"/>
          <w:sz w:val="20"/>
        </w:rPr>
        <w:t xml:space="preserve">  4. Provision collaboration tools: shared project channel (Teams/Slack), shared document folder, and project management board.</w:t>
      </w:r>
    </w:p>
    <w:p>
      <w:r>
        <w:rPr>
          <w:rFonts w:ascii="Calibri" w:hAnsi="Calibri"/>
          <w:b w:val="0"/>
          <w:i w:val="0"/>
          <w:sz w:val="20"/>
        </w:rPr>
        <w:t xml:space="preserve">  5. Issue client-facing credentials if they need access to any of our portals or dashboards.</w:t>
      </w:r>
    </w:p>
    <w:p>
      <w:r>
        <w:rPr>
          <w:rFonts w:ascii="Calibri" w:hAnsi="Calibri"/>
          <w:b w:val="0"/>
          <w:i w:val="0"/>
          <w:sz w:val="20"/>
        </w:rPr>
        <w:t xml:space="preserve">  6. Send the client a Welcome Email with: Client Services Manager contact information, project portal link, escalation path, and expected next steps.</w:t>
      </w:r>
    </w:p>
    <w:p>
      <w:r>
        <w:rPr>
          <w:rFonts w:ascii="Calibri" w:hAnsi="Calibri"/>
          <w:b/>
          <w:i w:val="0"/>
          <w:sz w:val="20"/>
        </w:rPr>
        <w:t>4.3 Kickoff Meeting (Days 5-10)</w:t>
      </w:r>
    </w:p>
    <w:p>
      <w:r>
        <w:rPr>
          <w:rFonts w:ascii="Calibri" w:hAnsi="Calibri"/>
          <w:b w:val="0"/>
          <w:i w:val="0"/>
          <w:sz w:val="20"/>
        </w:rPr>
        <w:t xml:space="preserve">  1. Schedule a kickoff meeting with all key stakeholders (client side and internal team).</w:t>
      </w:r>
    </w:p>
    <w:p>
      <w:r>
        <w:rPr>
          <w:rFonts w:ascii="Calibri" w:hAnsi="Calibri"/>
          <w:b w:val="0"/>
          <w:i w:val="0"/>
          <w:sz w:val="20"/>
        </w:rPr>
        <w:t xml:space="preserve">  2. Prepare a Kickoff Agenda covering: introductions, project scope review, timeline and milestones, communication plan, risk identification, and immediate next steps.</w:t>
      </w:r>
    </w:p>
    <w:p>
      <w:r>
        <w:rPr>
          <w:rFonts w:ascii="Calibri" w:hAnsi="Calibri"/>
          <w:b w:val="0"/>
          <w:i w:val="0"/>
          <w:sz w:val="20"/>
        </w:rPr>
        <w:t xml:space="preserve">  3. During the kickoff, confirm: primary and secondary contacts on both sides, preferred communication channels, meeting cadence (weekly status calls recommended), and escalation procedures.</w:t>
      </w:r>
    </w:p>
    <w:p>
      <w:r>
        <w:rPr>
          <w:rFonts w:ascii="Calibri" w:hAnsi="Calibri"/>
          <w:b w:val="0"/>
          <w:i w:val="0"/>
          <w:sz w:val="20"/>
        </w:rPr>
        <w:t xml:space="preserve">  4. Walk the client through deliverable expectations: what they will receive, in what format, and on what schedule.</w:t>
      </w:r>
    </w:p>
    <w:p>
      <w:r>
        <w:rPr>
          <w:rFonts w:ascii="Calibri" w:hAnsi="Calibri"/>
          <w:b w:val="0"/>
          <w:i w:val="0"/>
          <w:sz w:val="20"/>
        </w:rPr>
        <w:t xml:space="preserve">  5. Identify any immediate data or access needs that are still outstanding.</w:t>
      </w:r>
    </w:p>
    <w:p>
      <w:r>
        <w:rPr>
          <w:rFonts w:ascii="Calibri" w:hAnsi="Calibri"/>
          <w:b w:val="0"/>
          <w:i w:val="0"/>
          <w:sz w:val="20"/>
        </w:rPr>
        <w:t xml:space="preserve">  6. Distribute meeting minutes within 24 hours. Include action items with owners and due dates.</w:t>
      </w:r>
    </w:p>
    <w:p>
      <w:r>
        <w:rPr>
          <w:rFonts w:ascii="Calibri" w:hAnsi="Calibri"/>
          <w:b/>
          <w:i w:val="0"/>
          <w:sz w:val="20"/>
        </w:rPr>
        <w:t>4.4 Project Setup &amp; Communication Cadence (Days 10-15)</w:t>
      </w:r>
    </w:p>
    <w:p>
      <w:r>
        <w:rPr>
          <w:rFonts w:ascii="Calibri" w:hAnsi="Calibri"/>
          <w:b w:val="0"/>
          <w:i w:val="0"/>
          <w:sz w:val="20"/>
        </w:rPr>
        <w:t xml:space="preserve">  1. Project Manager builds the detailed project plan in the project management tool. Include milestones, dependencies, and resource assignments.</w:t>
      </w:r>
    </w:p>
    <w:p>
      <w:r>
        <w:rPr>
          <w:rFonts w:ascii="Calibri" w:hAnsi="Calibri"/>
          <w:b w:val="0"/>
          <w:i w:val="0"/>
          <w:sz w:val="20"/>
        </w:rPr>
        <w:t xml:space="preserve">  2. Schedule the recurring status meeting (recommended: weekly, 30 minutes, same day/time each week).</w:t>
      </w:r>
    </w:p>
    <w:p>
      <w:r>
        <w:rPr>
          <w:rFonts w:ascii="Calibri" w:hAnsi="Calibri"/>
          <w:b w:val="0"/>
          <w:i w:val="0"/>
          <w:sz w:val="20"/>
        </w:rPr>
        <w:t xml:space="preserve">  3. Establish the status report format: use the Standard Client Status Report template (Form CS-003).</w:t>
      </w:r>
    </w:p>
    <w:p>
      <w:r>
        <w:rPr>
          <w:rFonts w:ascii="Calibri" w:hAnsi="Calibri"/>
          <w:b w:val="0"/>
          <w:i w:val="0"/>
          <w:sz w:val="20"/>
        </w:rPr>
        <w:t xml:space="preserve">  4. Define the deliverable review process with the client (see SOP-PS-003).</w:t>
      </w:r>
    </w:p>
    <w:p>
      <w:r>
        <w:rPr>
          <w:rFonts w:ascii="Calibri" w:hAnsi="Calibri"/>
          <w:b w:val="0"/>
          <w:i w:val="0"/>
          <w:sz w:val="20"/>
        </w:rPr>
        <w:t xml:space="preserve">  5. Set up time tracking codes for all team members assigned to this engagement.</w:t>
      </w:r>
    </w:p>
    <w:p>
      <w:r>
        <w:rPr>
          <w:rFonts w:ascii="Calibri" w:hAnsi="Calibri"/>
          <w:b w:val="0"/>
          <w:i w:val="0"/>
          <w:sz w:val="20"/>
        </w:rPr>
        <w:t xml:space="preserve">  6. Confirm the invoicing schedule with Finance (monthly, milestone-based, or project completion).</w:t>
      </w:r>
    </w:p>
    <w:p>
      <w:r>
        <w:rPr>
          <w:rFonts w:ascii="Calibri" w:hAnsi="Calibri"/>
          <w:b/>
          <w:i w:val="0"/>
          <w:sz w:val="20"/>
        </w:rPr>
        <w:t>4.5 30-Day Check-In</w:t>
      </w:r>
    </w:p>
    <w:p>
      <w:r>
        <w:rPr>
          <w:rFonts w:ascii="Calibri" w:hAnsi="Calibri"/>
          <w:b w:val="0"/>
          <w:i w:val="0"/>
          <w:sz w:val="20"/>
        </w:rPr>
        <w:t xml:space="preserve">  1. At the 30-day mark, the Client Services Manager conducts a brief satisfaction check-in with the client's primary contact.</w:t>
      </w:r>
    </w:p>
    <w:p>
      <w:r>
        <w:rPr>
          <w:rFonts w:ascii="Calibri" w:hAnsi="Calibri"/>
          <w:b w:val="0"/>
          <w:i w:val="0"/>
          <w:sz w:val="20"/>
        </w:rPr>
        <w:t xml:space="preserve">  2. Review: Are deliverables meeting expectations? Is communication working? Any concerns?</w:t>
      </w:r>
    </w:p>
    <w:p>
      <w:r>
        <w:rPr>
          <w:rFonts w:ascii="Calibri" w:hAnsi="Calibri"/>
          <w:b w:val="0"/>
          <w:i w:val="0"/>
          <w:sz w:val="20"/>
        </w:rPr>
        <w:t xml:space="preserve">  3. Document feedback in the CRM. Address any issues immediately.</w:t>
      </w:r>
    </w:p>
    <w:p>
      <w:r>
        <w:rPr>
          <w:rFonts w:ascii="Calibri" w:hAnsi="Calibri"/>
          <w:b w:val="0"/>
          <w:i w:val="0"/>
          <w:sz w:val="20"/>
        </w:rPr>
        <w:t xml:space="preserve">  4. IF scope changes are needed, initiate the Change Order process (separate SOP).</w:t>
      </w:r>
    </w:p>
    <w:p>
      <w:r>
        <w:rPr>
          <w:rFonts w:ascii="Calibri" w:hAnsi="Calibri"/>
          <w:b w:val="0"/>
          <w:i w:val="0"/>
          <w:sz w:val="20"/>
        </w:rPr>
        <w:t xml:space="preserve">  5. Update the project risk register based on the first month's experience.</w:t>
      </w:r>
    </w:p>
    <w:p>
      <w:r>
        <w:rPr>
          <w:rFonts w:ascii="Calibri" w:hAnsi="Calibri"/>
          <w:b w:val="0"/>
          <w:i w:val="0"/>
          <w:sz w:val="20"/>
        </w:rPr>
        <w:t xml:space="preserve">  6. Close the onboarding phase in the project management tool. Transition to steady-state delivery.</w:t>
      </w:r>
    </w:p>
    <w:p>
      <w:pPr>
        <w:pStyle w:val="Heading2"/>
      </w:pPr>
      <w:r>
        <w:rPr>
          <w:rFonts w:ascii="Calibri" w:hAnsi="Calibri"/>
          <w:color w:val="1A3A5C"/>
        </w:rPr>
        <w:t>5. Quality Checkpoints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Checkpoint</w:t>
            </w:r>
          </w:p>
        </w:tc>
        <w:tc>
          <w:tcPr>
            <w:tcW w:type="dxa" w:w="3135"/>
            <w:shd w:fill="1A3A5C"/>
          </w:tcPr>
          <w:p>
            <w:r>
              <w:rPr>
                <w:b/>
                <w:color w:val="FFFFFF"/>
                <w:sz w:val="20"/>
              </w:rPr>
              <w:t>Verify</w:t>
            </w:r>
          </w:p>
        </w:tc>
        <w:tc>
          <w:tcPr>
            <w:tcW w:type="dxa" w:w="3135"/>
            <w:shd w:fill="1A3A5C"/>
          </w:tcPr>
          <w:p>
            <w:r>
              <w:rPr>
                <w:b/>
                <w:color w:val="FFFFFF"/>
                <w:sz w:val="20"/>
              </w:rPr>
              <w:t>Criteria</w:t>
            </w:r>
          </w:p>
        </w:tc>
      </w:tr>
      <w:tr>
        <w:tc>
          <w:tcPr>
            <w:tcW w:type="dxa" w:w="3135"/>
          </w:tcPr>
          <w:p>
            <w:r/>
            <w:r>
              <w:rPr>
                <w:rFonts w:ascii="Calibri" w:hAnsi="Calibri"/>
                <w:sz w:val="20"/>
              </w:rPr>
              <w:t>QC-1</w:t>
            </w:r>
          </w:p>
        </w:tc>
        <w:tc>
          <w:tcPr>
            <w:tcW w:type="dxa" w:w="3135"/>
          </w:tcPr>
          <w:p>
            <w:r/>
            <w:r>
              <w:rPr>
                <w:rFonts w:ascii="Calibri" w:hAnsi="Calibri"/>
                <w:sz w:val="20"/>
              </w:rPr>
              <w:t>Engagement Letter and NDA signed</w:t>
            </w:r>
          </w:p>
        </w:tc>
        <w:tc>
          <w:tcPr>
            <w:tcW w:type="dxa" w:w="3135"/>
          </w:tcPr>
          <w:p>
            <w:r/>
            <w:r>
              <w:rPr>
                <w:rFonts w:ascii="Calibri" w:hAnsi="Calibri"/>
                <w:sz w:val="20"/>
              </w:rPr>
              <w:t>Both documents executed and filed</w:t>
            </w:r>
          </w:p>
        </w:tc>
      </w:tr>
      <w:tr>
        <w:tc>
          <w:tcPr>
            <w:tcW w:type="dxa" w:w="3135"/>
          </w:tcPr>
          <w:p>
            <w:r/>
            <w:r>
              <w:rPr>
                <w:rFonts w:ascii="Calibri" w:hAnsi="Calibri"/>
                <w:sz w:val="20"/>
              </w:rPr>
              <w:t>QC-2</w:t>
            </w:r>
          </w:p>
        </w:tc>
        <w:tc>
          <w:tcPr>
            <w:tcW w:type="dxa" w:w="3135"/>
          </w:tcPr>
          <w:p>
            <w:r/>
            <w:r>
              <w:rPr>
                <w:rFonts w:ascii="Calibri" w:hAnsi="Calibri"/>
                <w:sz w:val="20"/>
              </w:rPr>
              <w:t>Client set up in all systems</w:t>
            </w:r>
          </w:p>
        </w:tc>
        <w:tc>
          <w:tcPr>
            <w:tcW w:type="dxa" w:w="3135"/>
          </w:tcPr>
          <w:p>
            <w:r/>
            <w:r>
              <w:rPr>
                <w:rFonts w:ascii="Calibri" w:hAnsi="Calibri"/>
                <w:sz w:val="20"/>
              </w:rPr>
              <w:t>CRM, billing, project management, collaboration tools</w:t>
            </w:r>
          </w:p>
        </w:tc>
      </w:tr>
      <w:tr>
        <w:tc>
          <w:tcPr>
            <w:tcW w:type="dxa" w:w="3135"/>
          </w:tcPr>
          <w:p>
            <w:r/>
            <w:r>
              <w:rPr>
                <w:rFonts w:ascii="Calibri" w:hAnsi="Calibri"/>
                <w:sz w:val="20"/>
              </w:rPr>
              <w:t>QC-3</w:t>
            </w:r>
          </w:p>
        </w:tc>
        <w:tc>
          <w:tcPr>
            <w:tcW w:type="dxa" w:w="3135"/>
          </w:tcPr>
          <w:p>
            <w:r/>
            <w:r>
              <w:rPr>
                <w:rFonts w:ascii="Calibri" w:hAnsi="Calibri"/>
                <w:sz w:val="20"/>
              </w:rPr>
              <w:t>Kickoff meeting completed</w:t>
            </w:r>
          </w:p>
        </w:tc>
        <w:tc>
          <w:tcPr>
            <w:tcW w:type="dxa" w:w="3135"/>
          </w:tcPr>
          <w:p>
            <w:r/>
            <w:r>
              <w:rPr>
                <w:rFonts w:ascii="Calibri" w:hAnsi="Calibri"/>
                <w:sz w:val="20"/>
              </w:rPr>
              <w:t>Minutes distributed; action items assigned</w:t>
            </w:r>
          </w:p>
        </w:tc>
      </w:tr>
      <w:tr>
        <w:tc>
          <w:tcPr>
            <w:tcW w:type="dxa" w:w="3135"/>
          </w:tcPr>
          <w:p>
            <w:r/>
            <w:r>
              <w:rPr>
                <w:rFonts w:ascii="Calibri" w:hAnsi="Calibri"/>
                <w:sz w:val="20"/>
              </w:rPr>
              <w:t>QC-4</w:t>
            </w:r>
          </w:p>
        </w:tc>
        <w:tc>
          <w:tcPr>
            <w:tcW w:type="dxa" w:w="3135"/>
          </w:tcPr>
          <w:p>
            <w:r/>
            <w:r>
              <w:rPr>
                <w:rFonts w:ascii="Calibri" w:hAnsi="Calibri"/>
                <w:sz w:val="20"/>
              </w:rPr>
              <w:t>30-day check-in completed</w:t>
            </w:r>
          </w:p>
        </w:tc>
        <w:tc>
          <w:tcPr>
            <w:tcW w:type="dxa" w:w="3135"/>
          </w:tcPr>
          <w:p>
            <w:r/>
            <w:r>
              <w:rPr>
                <w:rFonts w:ascii="Calibri" w:hAnsi="Calibri"/>
                <w:sz w:val="20"/>
              </w:rPr>
              <w:t>Client feedback documented; issues addressed</w:t>
            </w:r>
          </w:p>
        </w:tc>
      </w:tr>
    </w:tbl>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SOP-PS-002: Document &amp; File Management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SOP-PS-002</w:t>
            </w:r>
          </w:p>
        </w:tc>
      </w:tr>
      <w:tr>
        <w:tc>
          <w:tcPr>
            <w:tcW w:type="dxa" w:w="4703"/>
          </w:tcPr>
          <w:p>
            <w:r/>
            <w:r>
              <w:rPr>
                <w:rFonts w:ascii="Calibri" w:hAnsi="Calibri"/>
                <w:b/>
                <w:sz w:val="20"/>
              </w:rPr>
              <w:t>Title</w:t>
            </w:r>
          </w:p>
        </w:tc>
        <w:tc>
          <w:tcPr>
            <w:tcW w:type="dxa" w:w="4703"/>
          </w:tcPr>
          <w:p>
            <w:r/>
            <w:r>
              <w:rPr>
                <w:rFonts w:ascii="Calibri" w:hAnsi="Calibri"/>
                <w:sz w:val="20"/>
              </w:rPr>
              <w:t>Document &amp; File Management</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Operations / All Departments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consistent standards for document creation, naming, storage, version control, and archival to ensure all team members can quickly find, reference, and collaborate on files without confusion or duplication.</w:t>
      </w:r>
    </w:p>
    <w:p>
      <w:pPr>
        <w:pStyle w:val="Heading2"/>
      </w:pPr>
      <w:r>
        <w:rPr>
          <w:rFonts w:ascii="Calibri" w:hAnsi="Calibri"/>
          <w:color w:val="1A3A5C"/>
        </w:rPr>
        <w:t>2. Scope</w:t>
      </w:r>
    </w:p>
    <w:p>
      <w:r>
        <w:rPr>
          <w:rFonts w:ascii="Calibri" w:hAnsi="Calibri"/>
          <w:b w:val="0"/>
          <w:i w:val="0"/>
          <w:sz w:val="20"/>
        </w:rPr>
        <w:t>This SOP applies to all employees, contractors, and temporary staff who create, modify, or access company documents. It covers all digital files stored on the company network, cloud storage, and project management systems.</w:t>
      </w:r>
    </w:p>
    <w:p>
      <w:pPr>
        <w:pStyle w:val="Heading2"/>
      </w:pPr>
      <w:r>
        <w:rPr>
          <w:rFonts w:ascii="Calibri" w:hAnsi="Calibri"/>
          <w:color w:val="1A3A5C"/>
        </w:rPr>
        <w:t>3. Procedure</w:t>
      </w:r>
    </w:p>
    <w:p>
      <w:r>
        <w:rPr>
          <w:rFonts w:ascii="Calibri" w:hAnsi="Calibri"/>
          <w:b/>
          <w:i w:val="0"/>
          <w:sz w:val="20"/>
        </w:rPr>
        <w:t>3.1 Naming Conventions</w:t>
      </w:r>
    </w:p>
    <w:p>
      <w:r>
        <w:rPr>
          <w:rFonts w:ascii="Calibri" w:hAnsi="Calibri"/>
          <w:b w:val="0"/>
          <w:i w:val="0"/>
          <w:sz w:val="20"/>
        </w:rPr>
        <w:t>All files must follow the standard naming convention to enable consistent searching and sorting:</w:t>
      </w:r>
    </w:p>
    <w:p>
      <w:r>
        <w:rPr>
          <w:rFonts w:ascii="Calibri" w:hAnsi="Calibri"/>
          <w:b/>
          <w:i w:val="0"/>
          <w:sz w:val="20"/>
        </w:rPr>
        <w:t>Format: [ClientID]-[ProjectCode]-[DocType]-[Description]-[Version].[ext]</w:t>
      </w:r>
    </w:p>
    <w:p>
      <w:r>
        <w:rPr>
          <w:rFonts w:ascii="Calibri" w:hAnsi="Calibri"/>
          <w:b w:val="0"/>
          <w:i w:val="0"/>
          <w:sz w:val="20"/>
        </w:rPr>
        <w:t>Example: CLI-2026-0042-ACME-RPT-QuarterlyReview-v2.1.docx</w:t>
      </w:r>
    </w:p>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Code</w:t>
            </w:r>
          </w:p>
        </w:tc>
        <w:tc>
          <w:tcPr>
            <w:tcW w:type="dxa" w:w="3135"/>
            <w:shd w:fill="1A3A5C"/>
          </w:tcPr>
          <w:p>
            <w:r>
              <w:rPr>
                <w:b/>
                <w:color w:val="FFFFFF"/>
                <w:sz w:val="20"/>
              </w:rPr>
              <w:t>Document Type</w:t>
            </w:r>
          </w:p>
        </w:tc>
        <w:tc>
          <w:tcPr>
            <w:tcW w:type="dxa" w:w="3135"/>
            <w:shd w:fill="1A3A5C"/>
          </w:tcPr>
          <w:p>
            <w:r>
              <w:rPr>
                <w:b/>
                <w:color w:val="FFFFFF"/>
                <w:sz w:val="20"/>
              </w:rPr>
              <w:t>Example</w:t>
            </w:r>
          </w:p>
        </w:tc>
      </w:tr>
      <w:tr>
        <w:tc>
          <w:tcPr>
            <w:tcW w:type="dxa" w:w="3135"/>
          </w:tcPr>
          <w:p>
            <w:r/>
            <w:r>
              <w:rPr>
                <w:rFonts w:ascii="Calibri" w:hAnsi="Calibri"/>
                <w:sz w:val="20"/>
              </w:rPr>
              <w:t>RPT</w:t>
            </w:r>
          </w:p>
        </w:tc>
        <w:tc>
          <w:tcPr>
            <w:tcW w:type="dxa" w:w="3135"/>
          </w:tcPr>
          <w:p>
            <w:r/>
            <w:r>
              <w:rPr>
                <w:rFonts w:ascii="Calibri" w:hAnsi="Calibri"/>
                <w:sz w:val="20"/>
              </w:rPr>
              <w:t>Report</w:t>
            </w:r>
          </w:p>
        </w:tc>
        <w:tc>
          <w:tcPr>
            <w:tcW w:type="dxa" w:w="3135"/>
          </w:tcPr>
          <w:p>
            <w:r/>
            <w:r>
              <w:rPr>
                <w:rFonts w:ascii="Calibri" w:hAnsi="Calibri"/>
                <w:sz w:val="20"/>
              </w:rPr>
              <w:t>QuarterlyReview, AuditFindings</w:t>
            </w:r>
          </w:p>
        </w:tc>
      </w:tr>
      <w:tr>
        <w:tc>
          <w:tcPr>
            <w:tcW w:type="dxa" w:w="3135"/>
          </w:tcPr>
          <w:p>
            <w:r/>
            <w:r>
              <w:rPr>
                <w:rFonts w:ascii="Calibri" w:hAnsi="Calibri"/>
                <w:sz w:val="20"/>
              </w:rPr>
              <w:t>PROP</w:t>
            </w:r>
          </w:p>
        </w:tc>
        <w:tc>
          <w:tcPr>
            <w:tcW w:type="dxa" w:w="3135"/>
          </w:tcPr>
          <w:p>
            <w:r/>
            <w:r>
              <w:rPr>
                <w:rFonts w:ascii="Calibri" w:hAnsi="Calibri"/>
                <w:sz w:val="20"/>
              </w:rPr>
              <w:t>Proposal</w:t>
            </w:r>
          </w:p>
        </w:tc>
        <w:tc>
          <w:tcPr>
            <w:tcW w:type="dxa" w:w="3135"/>
          </w:tcPr>
          <w:p>
            <w:r/>
            <w:r>
              <w:rPr>
                <w:rFonts w:ascii="Calibri" w:hAnsi="Calibri"/>
                <w:sz w:val="20"/>
              </w:rPr>
              <w:t>ServiceProposal, PricingResponse</w:t>
            </w:r>
          </w:p>
        </w:tc>
      </w:tr>
      <w:tr>
        <w:tc>
          <w:tcPr>
            <w:tcW w:type="dxa" w:w="3135"/>
          </w:tcPr>
          <w:p>
            <w:r/>
            <w:r>
              <w:rPr>
                <w:rFonts w:ascii="Calibri" w:hAnsi="Calibri"/>
                <w:sz w:val="20"/>
              </w:rPr>
              <w:t>PRES</w:t>
            </w:r>
          </w:p>
        </w:tc>
        <w:tc>
          <w:tcPr>
            <w:tcW w:type="dxa" w:w="3135"/>
          </w:tcPr>
          <w:p>
            <w:r/>
            <w:r>
              <w:rPr>
                <w:rFonts w:ascii="Calibri" w:hAnsi="Calibri"/>
                <w:sz w:val="20"/>
              </w:rPr>
              <w:t>Presentation</w:t>
            </w:r>
          </w:p>
        </w:tc>
        <w:tc>
          <w:tcPr>
            <w:tcW w:type="dxa" w:w="3135"/>
          </w:tcPr>
          <w:p>
            <w:r/>
            <w:r>
              <w:rPr>
                <w:rFonts w:ascii="Calibri" w:hAnsi="Calibri"/>
                <w:sz w:val="20"/>
              </w:rPr>
              <w:t>KickoffDeck, BoardUpdate</w:t>
            </w:r>
          </w:p>
        </w:tc>
      </w:tr>
      <w:tr>
        <w:tc>
          <w:tcPr>
            <w:tcW w:type="dxa" w:w="3135"/>
          </w:tcPr>
          <w:p>
            <w:r/>
            <w:r>
              <w:rPr>
                <w:rFonts w:ascii="Calibri" w:hAnsi="Calibri"/>
                <w:sz w:val="20"/>
              </w:rPr>
              <w:t>MEMO</w:t>
            </w:r>
          </w:p>
        </w:tc>
        <w:tc>
          <w:tcPr>
            <w:tcW w:type="dxa" w:w="3135"/>
          </w:tcPr>
          <w:p>
            <w:r/>
            <w:r>
              <w:rPr>
                <w:rFonts w:ascii="Calibri" w:hAnsi="Calibri"/>
                <w:sz w:val="20"/>
              </w:rPr>
              <w:t>Memorandum</w:t>
            </w:r>
          </w:p>
        </w:tc>
        <w:tc>
          <w:tcPr>
            <w:tcW w:type="dxa" w:w="3135"/>
          </w:tcPr>
          <w:p>
            <w:r/>
            <w:r>
              <w:rPr>
                <w:rFonts w:ascii="Calibri" w:hAnsi="Calibri"/>
                <w:sz w:val="20"/>
              </w:rPr>
              <w:t>PolicyUpdate, LegalOpinion</w:t>
            </w:r>
          </w:p>
        </w:tc>
      </w:tr>
      <w:tr>
        <w:tc>
          <w:tcPr>
            <w:tcW w:type="dxa" w:w="3135"/>
          </w:tcPr>
          <w:p>
            <w:r/>
            <w:r>
              <w:rPr>
                <w:rFonts w:ascii="Calibri" w:hAnsi="Calibri"/>
                <w:sz w:val="20"/>
              </w:rPr>
              <w:t>CONT</w:t>
            </w:r>
          </w:p>
        </w:tc>
        <w:tc>
          <w:tcPr>
            <w:tcW w:type="dxa" w:w="3135"/>
          </w:tcPr>
          <w:p>
            <w:r/>
            <w:r>
              <w:rPr>
                <w:rFonts w:ascii="Calibri" w:hAnsi="Calibri"/>
                <w:sz w:val="20"/>
              </w:rPr>
              <w:t>Contract</w:t>
            </w:r>
          </w:p>
        </w:tc>
        <w:tc>
          <w:tcPr>
            <w:tcW w:type="dxa" w:w="3135"/>
          </w:tcPr>
          <w:p>
            <w:r/>
            <w:r>
              <w:rPr>
                <w:rFonts w:ascii="Calibri" w:hAnsi="Calibri"/>
                <w:sz w:val="20"/>
              </w:rPr>
              <w:t>MSA, NDA, SOW</w:t>
            </w:r>
          </w:p>
        </w:tc>
      </w:tr>
      <w:tr>
        <w:tc>
          <w:tcPr>
            <w:tcW w:type="dxa" w:w="3135"/>
          </w:tcPr>
          <w:p>
            <w:r/>
            <w:r>
              <w:rPr>
                <w:rFonts w:ascii="Calibri" w:hAnsi="Calibri"/>
                <w:sz w:val="20"/>
              </w:rPr>
              <w:t>DATA</w:t>
            </w:r>
          </w:p>
        </w:tc>
        <w:tc>
          <w:tcPr>
            <w:tcW w:type="dxa" w:w="3135"/>
          </w:tcPr>
          <w:p>
            <w:r/>
            <w:r>
              <w:rPr>
                <w:rFonts w:ascii="Calibri" w:hAnsi="Calibri"/>
                <w:sz w:val="20"/>
              </w:rPr>
              <w:t>Data/Spreadsheet</w:t>
            </w:r>
          </w:p>
        </w:tc>
        <w:tc>
          <w:tcPr>
            <w:tcW w:type="dxa" w:w="3135"/>
          </w:tcPr>
          <w:p>
            <w:r/>
            <w:r>
              <w:rPr>
                <w:rFonts w:ascii="Calibri" w:hAnsi="Calibri"/>
                <w:sz w:val="20"/>
              </w:rPr>
              <w:t>FinancialModel, SurveyResults</w:t>
            </w:r>
          </w:p>
        </w:tc>
      </w:tr>
      <w:tr>
        <w:tc>
          <w:tcPr>
            <w:tcW w:type="dxa" w:w="3135"/>
          </w:tcPr>
          <w:p>
            <w:r/>
            <w:r>
              <w:rPr>
                <w:rFonts w:ascii="Calibri" w:hAnsi="Calibri"/>
                <w:sz w:val="20"/>
              </w:rPr>
              <w:t>FORM</w:t>
            </w:r>
          </w:p>
        </w:tc>
        <w:tc>
          <w:tcPr>
            <w:tcW w:type="dxa" w:w="3135"/>
          </w:tcPr>
          <w:p>
            <w:r/>
            <w:r>
              <w:rPr>
                <w:rFonts w:ascii="Calibri" w:hAnsi="Calibri"/>
                <w:sz w:val="20"/>
              </w:rPr>
              <w:t>Form/Template</w:t>
            </w:r>
          </w:p>
        </w:tc>
        <w:tc>
          <w:tcPr>
            <w:tcW w:type="dxa" w:w="3135"/>
          </w:tcPr>
          <w:p>
            <w:r/>
            <w:r>
              <w:rPr>
                <w:rFonts w:ascii="Calibri" w:hAnsi="Calibri"/>
                <w:sz w:val="20"/>
              </w:rPr>
              <w:t>IntakeForm, Checklist</w:t>
            </w:r>
          </w:p>
        </w:tc>
      </w:tr>
      <w:tr>
        <w:tc>
          <w:tcPr>
            <w:tcW w:type="dxa" w:w="3135"/>
          </w:tcPr>
          <w:p>
            <w:r/>
            <w:r>
              <w:rPr>
                <w:rFonts w:ascii="Calibri" w:hAnsi="Calibri"/>
                <w:sz w:val="20"/>
              </w:rPr>
              <w:t>MINS</w:t>
            </w:r>
          </w:p>
        </w:tc>
        <w:tc>
          <w:tcPr>
            <w:tcW w:type="dxa" w:w="3135"/>
          </w:tcPr>
          <w:p>
            <w:r/>
            <w:r>
              <w:rPr>
                <w:rFonts w:ascii="Calibri" w:hAnsi="Calibri"/>
                <w:sz w:val="20"/>
              </w:rPr>
              <w:t>Meeting Minutes</w:t>
            </w:r>
          </w:p>
        </w:tc>
        <w:tc>
          <w:tcPr>
            <w:tcW w:type="dxa" w:w="3135"/>
          </w:tcPr>
          <w:p>
            <w:r/>
            <w:r>
              <w:rPr>
                <w:rFonts w:ascii="Calibri" w:hAnsi="Calibri"/>
                <w:sz w:val="20"/>
              </w:rPr>
              <w:t>KickoffMinutes, WeeklyStatus</w:t>
            </w:r>
          </w:p>
        </w:tc>
      </w:tr>
    </w:tbl>
    <w:p/>
    <w:p>
      <w:pPr>
        <w:pStyle w:val="ListBullet"/>
      </w:pPr>
      <w:r>
        <w:rPr>
          <w:rFonts w:ascii="Calibri" w:hAnsi="Calibri"/>
          <w:sz w:val="20"/>
        </w:rPr>
        <w:t>Use hyphens (-) to separate elements, never spaces or underscores</w:t>
      </w:r>
    </w:p>
    <w:p>
      <w:pPr>
        <w:pStyle w:val="ListBullet"/>
      </w:pPr>
      <w:r>
        <w:rPr>
          <w:rFonts w:ascii="Calibri" w:hAnsi="Calibri"/>
          <w:sz w:val="20"/>
        </w:rPr>
        <w:t>Use title case for the Description element (QuarterlyReview, not quarterly_review)</w:t>
      </w:r>
    </w:p>
    <w:p>
      <w:pPr>
        <w:pStyle w:val="ListBullet"/>
      </w:pPr>
      <w:r>
        <w:rPr>
          <w:rFonts w:ascii="Calibri" w:hAnsi="Calibri"/>
          <w:sz w:val="20"/>
        </w:rPr>
        <w:t>Never use special characters: # % &amp; * { } \ &lt; &gt; ? / ! ' " : @ + ` | =</w:t>
      </w:r>
    </w:p>
    <w:p>
      <w:pPr>
        <w:pStyle w:val="ListBullet"/>
      </w:pPr>
      <w:r>
        <w:rPr>
          <w:rFonts w:ascii="Calibri" w:hAnsi="Calibri"/>
          <w:sz w:val="20"/>
        </w:rPr>
        <w:t>Date format when needed: YYYY-MM-DD (ISO 8601)</w:t>
      </w:r>
    </w:p>
    <w:p>
      <w:r>
        <w:rPr>
          <w:rFonts w:ascii="Calibri" w:hAnsi="Calibri"/>
          <w:b/>
          <w:i w:val="0"/>
          <w:sz w:val="20"/>
        </w:rPr>
        <w:t>3.2 Folder Structure</w:t>
      </w:r>
    </w:p>
    <w:p>
      <w:r>
        <w:rPr>
          <w:rFonts w:ascii="Calibri" w:hAnsi="Calibri"/>
          <w:b w:val="0"/>
          <w:i w:val="0"/>
          <w:sz w:val="20"/>
        </w:rPr>
        <w:t>Every client engagement follows this standard folder hierarchy:</w:t>
      </w:r>
    </w:p>
    <w:p>
      <w:r>
        <w:rPr>
          <w:rFonts w:ascii="Calibri" w:hAnsi="Calibri"/>
          <w:b w:val="0"/>
          <w:i w:val="0"/>
          <w:sz w:val="20"/>
        </w:rPr>
        <w:t xml:space="preserve">    [ClientID]-[ClientName]/</w:t>
      </w:r>
    </w:p>
    <w:p>
      <w:r>
        <w:rPr>
          <w:rFonts w:ascii="Calibri" w:hAnsi="Calibri"/>
          <w:b w:val="0"/>
          <w:i w:val="0"/>
          <w:sz w:val="20"/>
        </w:rPr>
        <w:t xml:space="preserve">      01-Engagement/         (contracts, NDAs, proposals, engagement letters)</w:t>
      </w:r>
    </w:p>
    <w:p>
      <w:r>
        <w:rPr>
          <w:rFonts w:ascii="Calibri" w:hAnsi="Calibri"/>
          <w:b w:val="0"/>
          <w:i w:val="0"/>
          <w:sz w:val="20"/>
        </w:rPr>
        <w:t xml:space="preserve">      02-Project-Plans/      (timelines, resource plans, RACI matrices)</w:t>
      </w:r>
    </w:p>
    <w:p>
      <w:r>
        <w:rPr>
          <w:rFonts w:ascii="Calibri" w:hAnsi="Calibri"/>
          <w:b w:val="0"/>
          <w:i w:val="0"/>
          <w:sz w:val="20"/>
        </w:rPr>
        <w:t xml:space="preserve">      03-Deliverables/       (final approved deliverables sent to client)</w:t>
      </w:r>
    </w:p>
    <w:p>
      <w:r>
        <w:rPr>
          <w:rFonts w:ascii="Calibri" w:hAnsi="Calibri"/>
          <w:b w:val="0"/>
          <w:i w:val="0"/>
          <w:sz w:val="20"/>
        </w:rPr>
        <w:t xml:space="preserve">      04-Working-Files/      (drafts, work-in-progress, analysis)</w:t>
      </w:r>
    </w:p>
    <w:p>
      <w:r>
        <w:rPr>
          <w:rFonts w:ascii="Calibri" w:hAnsi="Calibri"/>
          <w:b w:val="0"/>
          <w:i w:val="0"/>
          <w:sz w:val="20"/>
        </w:rPr>
        <w:t xml:space="preserve">      05-Communications/     (key emails, meeting minutes, status reports)</w:t>
      </w:r>
    </w:p>
    <w:p>
      <w:r>
        <w:rPr>
          <w:rFonts w:ascii="Calibri" w:hAnsi="Calibri"/>
          <w:b w:val="0"/>
          <w:i w:val="0"/>
          <w:sz w:val="20"/>
        </w:rPr>
        <w:t xml:space="preserve">      06-Financial/          (invoices, purchase orders, expense reports)</w:t>
      </w:r>
    </w:p>
    <w:p>
      <w:r>
        <w:rPr>
          <w:rFonts w:ascii="Calibri" w:hAnsi="Calibri"/>
          <w:b w:val="0"/>
          <w:i w:val="0"/>
          <w:sz w:val="20"/>
        </w:rPr>
        <w:t xml:space="preserve">      07-Archive/            (superseded documents, old versions)</w:t>
      </w:r>
    </w:p>
    <w:p>
      <w:r>
        <w:rPr>
          <w:rFonts w:ascii="Calibri" w:hAnsi="Calibri"/>
          <w:b/>
          <w:i w:val="0"/>
          <w:sz w:val="20"/>
        </w:rPr>
        <w:t>3.3 Version Control</w:t>
      </w:r>
    </w:p>
    <w:p>
      <w:r>
        <w:rPr>
          <w:rFonts w:ascii="Calibri" w:hAnsi="Calibri"/>
          <w:b w:val="0"/>
          <w:i w:val="0"/>
          <w:sz w:val="20"/>
        </w:rPr>
        <w:t xml:space="preserve">  1. Every document starts at version 1.0 upon initial creation.</w:t>
      </w:r>
    </w:p>
    <w:p>
      <w:r>
        <w:rPr>
          <w:rFonts w:ascii="Calibri" w:hAnsi="Calibri"/>
          <w:b w:val="0"/>
          <w:i w:val="0"/>
          <w:sz w:val="20"/>
        </w:rPr>
        <w:t xml:space="preserve">  2. Minor edits (formatting, typos, small clarifications) increment the decimal: v1.0 -&gt; v1.1 -&gt; v1.2.</w:t>
      </w:r>
    </w:p>
    <w:p>
      <w:r>
        <w:rPr>
          <w:rFonts w:ascii="Calibri" w:hAnsi="Calibri"/>
          <w:b w:val="0"/>
          <w:i w:val="0"/>
          <w:sz w:val="20"/>
        </w:rPr>
        <w:t xml:space="preserve">  3. Major revisions (new sections, significant content changes, scope changes) increment the whole number: v1.2 -&gt; v2.0.</w:t>
      </w:r>
    </w:p>
    <w:p>
      <w:r>
        <w:rPr>
          <w:rFonts w:ascii="Calibri" w:hAnsi="Calibri"/>
          <w:b w:val="0"/>
          <w:i w:val="0"/>
          <w:sz w:val="20"/>
        </w:rPr>
        <w:t xml:space="preserve">  4. When creating a new version, save the previous version to the 07-Archive folder. Do NOT delete previous versions.</w:t>
      </w:r>
    </w:p>
    <w:p>
      <w:r>
        <w:rPr>
          <w:rFonts w:ascii="Calibri" w:hAnsi="Calibri"/>
          <w:b w:val="0"/>
          <w:i w:val="0"/>
          <w:sz w:val="20"/>
        </w:rPr>
        <w:t xml:space="preserve">  5. The most current version always lives in the active folder (01-06). Never store multiple versions in the same active folder.</w:t>
      </w:r>
    </w:p>
    <w:p>
      <w:r>
        <w:rPr>
          <w:rFonts w:ascii="Calibri" w:hAnsi="Calibri"/>
          <w:b w:val="0"/>
          <w:i w:val="0"/>
          <w:sz w:val="20"/>
        </w:rPr>
        <w:t xml:space="preserve">  6. Include a Revision Log table at the end of all major documents (see Master Template, Section 11).</w:t>
      </w:r>
    </w:p>
    <w:p>
      <w:r>
        <w:rPr>
          <w:rFonts w:ascii="Calibri" w:hAnsi="Calibri"/>
          <w:b w:val="0"/>
          <w:i w:val="0"/>
          <w:sz w:val="20"/>
        </w:rPr>
        <w:t xml:space="preserve">  7. Use 'Track Changes' in Word for collaborative editing. Accept all changes before finalizing.</w:t>
      </w:r>
    </w:p>
    <w:p>
      <w:r>
        <w:rPr>
          <w:rFonts w:ascii="Calibri" w:hAnsi="Calibri"/>
          <w:b/>
          <w:i w:val="0"/>
          <w:sz w:val="20"/>
        </w:rPr>
        <w:t>3.4 Archival &amp; Retention</w:t>
      </w:r>
    </w:p>
    <w:p>
      <w:r>
        <w:rPr>
          <w:rFonts w:ascii="Calibri" w:hAnsi="Calibri"/>
          <w:b w:val="0"/>
          <w:i w:val="0"/>
          <w:sz w:val="20"/>
        </w:rPr>
        <w:t xml:space="preserve">  1. Upon project completion, move all working files to 07-Archive.</w:t>
      </w:r>
    </w:p>
    <w:p>
      <w:r>
        <w:rPr>
          <w:rFonts w:ascii="Calibri" w:hAnsi="Calibri"/>
          <w:b w:val="0"/>
          <w:i w:val="0"/>
          <w:sz w:val="20"/>
        </w:rPr>
        <w:t xml:space="preserve">  2. Final deliverables remain in 03-Deliverables permanently.</w:t>
      </w:r>
    </w:p>
    <w:p>
      <w:r>
        <w:rPr>
          <w:rFonts w:ascii="Calibri" w:hAnsi="Calibri"/>
          <w:b w:val="0"/>
          <w:i w:val="0"/>
          <w:sz w:val="20"/>
        </w:rPr>
        <w:t xml:space="preserve">  3. Contracts and legal documents: retain for minimum 7 years after engagement end date.</w:t>
      </w:r>
    </w:p>
    <w:p>
      <w:r>
        <w:rPr>
          <w:rFonts w:ascii="Calibri" w:hAnsi="Calibri"/>
          <w:b w:val="0"/>
          <w:i w:val="0"/>
          <w:sz w:val="20"/>
        </w:rPr>
        <w:t xml:space="preserve">  4. Financial records: retain for minimum 7 years per tax regulations.</w:t>
      </w:r>
    </w:p>
    <w:p>
      <w:r>
        <w:rPr>
          <w:rFonts w:ascii="Calibri" w:hAnsi="Calibri"/>
          <w:b w:val="0"/>
          <w:i w:val="0"/>
          <w:sz w:val="20"/>
        </w:rPr>
        <w:t xml:space="preserve">  5. Working files and drafts: retain for 3 years, then eligible for deletion.</w:t>
      </w:r>
    </w:p>
    <w:p>
      <w:r>
        <w:rPr>
          <w:rFonts w:ascii="Calibri" w:hAnsi="Calibri"/>
          <w:b w:val="0"/>
          <w:i w:val="0"/>
          <w:sz w:val="20"/>
        </w:rPr>
        <w:t xml:space="preserve">  6. Client data subject to regulatory requirements (PIPEDA, GDPR, HIPAA): follow the applicable regulation's retention schedule.</w:t>
      </w:r>
    </w:p>
    <w:p>
      <w:r>
        <w:rPr>
          <w:rFonts w:ascii="Calibri" w:hAnsi="Calibri"/>
          <w:b/>
          <w:i w:val="0"/>
          <w:sz w:val="20"/>
        </w:rPr>
        <w:t>3.5 Access Permissions</w:t>
      </w:r>
    </w:p>
    <w:p>
      <w:r>
        <w:rPr>
          <w:rFonts w:ascii="Calibri" w:hAnsi="Calibri"/>
          <w:b w:val="0"/>
          <w:i w:val="0"/>
          <w:sz w:val="20"/>
        </w:rPr>
        <w:t xml:space="preserve">  1. Client folders are restricted to the assigned project team plus department leadership.</w:t>
      </w:r>
    </w:p>
    <w:p>
      <w:r>
        <w:rPr>
          <w:rFonts w:ascii="Calibri" w:hAnsi="Calibri"/>
          <w:b w:val="0"/>
          <w:i w:val="0"/>
          <w:sz w:val="20"/>
        </w:rPr>
        <w:t xml:space="preserve">  2. Engagement and Financial folders (01 and 06) are restricted to the Client Services Manager, Finance, and Partners.</w:t>
      </w:r>
    </w:p>
    <w:p>
      <w:r>
        <w:rPr>
          <w:rFonts w:ascii="Calibri" w:hAnsi="Calibri"/>
          <w:b w:val="0"/>
          <w:i w:val="0"/>
          <w:sz w:val="20"/>
        </w:rPr>
        <w:t xml:space="preserve">  3. When a team member leaves the engagement, revoke their folder access within 24 hours.</w:t>
      </w:r>
    </w:p>
    <w:p>
      <w:r>
        <w:rPr>
          <w:rFonts w:ascii="Calibri" w:hAnsi="Calibri"/>
          <w:b w:val="0"/>
          <w:i w:val="0"/>
          <w:sz w:val="20"/>
        </w:rPr>
        <w:t xml:space="preserve">  4. External client access (if applicable) is limited to a designated shared subfolder only. Never give clients access to internal working files.</w:t>
      </w:r>
    </w:p>
    <w:p>
      <w:r>
        <w:rPr>
          <w:rFonts w:ascii="Calibri" w:hAnsi="Calibri"/>
          <w:b w:val="0"/>
          <w:i w:val="0"/>
          <w:sz w:val="20"/>
        </w:rPr>
        <w:t xml:space="preserve">  5. Annual access review: IT runs a quarterly report of all folder permissions. Department heads verify and prune.</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SOP-PS-003: Client Deliverable Review &amp; QA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SOP-PS-003</w:t>
            </w:r>
          </w:p>
        </w:tc>
      </w:tr>
      <w:tr>
        <w:tc>
          <w:tcPr>
            <w:tcW w:type="dxa" w:w="4703"/>
          </w:tcPr>
          <w:p>
            <w:r/>
            <w:r>
              <w:rPr>
                <w:rFonts w:ascii="Calibri" w:hAnsi="Calibri"/>
                <w:b/>
                <w:sz w:val="20"/>
              </w:rPr>
              <w:t>Title</w:t>
            </w:r>
          </w:p>
        </w:tc>
        <w:tc>
          <w:tcPr>
            <w:tcW w:type="dxa" w:w="4703"/>
          </w:tcPr>
          <w:p>
            <w:r/>
            <w:r>
              <w:rPr>
                <w:rFonts w:ascii="Calibri" w:hAnsi="Calibri"/>
                <w:sz w:val="20"/>
              </w:rPr>
              <w:t>Client Deliverable Review &amp; QA</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Client Services / Quality Assurance</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multi-stage quality assurance process for all client-facing deliverables to ensure accuracy, professionalism, and consistency before delivery.</w:t>
      </w:r>
    </w:p>
    <w:p>
      <w:pPr>
        <w:pStyle w:val="Heading2"/>
      </w:pPr>
      <w:r>
        <w:rPr>
          <w:rFonts w:ascii="Calibri" w:hAnsi="Calibri"/>
          <w:color w:val="1A3A5C"/>
        </w:rPr>
        <w:t>2. Scope</w:t>
      </w:r>
    </w:p>
    <w:p>
      <w:r>
        <w:rPr>
          <w:rFonts w:ascii="Calibri" w:hAnsi="Calibri"/>
          <w:b w:val="0"/>
          <w:i w:val="0"/>
          <w:sz w:val="20"/>
        </w:rPr>
        <w:t>This SOP applies to all documents, reports, presentations, data files, and other materials delivered to clients. It does not apply to routine email correspondence or informal meeting notes.</w:t>
      </w:r>
    </w:p>
    <w:p>
      <w:pPr>
        <w:pStyle w:val="Heading2"/>
      </w:pPr>
      <w:r>
        <w:rPr>
          <w:rFonts w:ascii="Calibri" w:hAnsi="Calibri"/>
          <w:color w:val="1A3A5C"/>
        </w:rPr>
        <w:t>3. Procedure</w:t>
      </w:r>
    </w:p>
    <w:p>
      <w:r>
        <w:rPr>
          <w:rFonts w:ascii="Calibri" w:hAnsi="Calibri"/>
          <w:b/>
          <w:i w:val="0"/>
          <w:sz w:val="20"/>
        </w:rPr>
        <w:t>3.1 Author Self-Review (Before Submission to QA)</w:t>
      </w:r>
    </w:p>
    <w:p>
      <w:r>
        <w:rPr>
          <w:rFonts w:ascii="Calibri" w:hAnsi="Calibri"/>
          <w:b w:val="0"/>
          <w:i w:val="0"/>
          <w:sz w:val="20"/>
        </w:rPr>
        <w:t xml:space="preserve">  1. Complete the Self-Review Checklist (Form QA-010) before submitting any deliverable for peer review.</w:t>
      </w:r>
    </w:p>
    <w:p>
      <w:r>
        <w:rPr>
          <w:rFonts w:ascii="Calibri" w:hAnsi="Calibri"/>
          <w:b w:val="0"/>
          <w:i w:val="0"/>
          <w:sz w:val="20"/>
        </w:rPr>
        <w:t xml:space="preserve">  2. Verify: all sections required by the project scope are present and complete.</w:t>
      </w:r>
    </w:p>
    <w:p>
      <w:r>
        <w:rPr>
          <w:rFonts w:ascii="Calibri" w:hAnsi="Calibri"/>
          <w:b w:val="0"/>
          <w:i w:val="0"/>
          <w:sz w:val="20"/>
        </w:rPr>
        <w:t xml:space="preserve">  3. Check all data, calculations, and references for accuracy. Re-run any analysis one final time.</w:t>
      </w:r>
    </w:p>
    <w:p>
      <w:r>
        <w:rPr>
          <w:rFonts w:ascii="Calibri" w:hAnsi="Calibri"/>
          <w:b w:val="0"/>
          <w:i w:val="0"/>
          <w:sz w:val="20"/>
        </w:rPr>
        <w:t xml:space="preserve">  4. Run spell check and grammar check. Read the document aloud to catch awkward phrasing.</w:t>
      </w:r>
    </w:p>
    <w:p>
      <w:r>
        <w:rPr>
          <w:rFonts w:ascii="Calibri" w:hAnsi="Calibri"/>
          <w:b w:val="0"/>
          <w:i w:val="0"/>
          <w:sz w:val="20"/>
        </w:rPr>
        <w:t xml:space="preserve">  5. Verify all charts, graphs, and tables have accurate titles, labels, axis descriptions, and source citations.</w:t>
      </w:r>
    </w:p>
    <w:p>
      <w:r>
        <w:rPr>
          <w:rFonts w:ascii="Calibri" w:hAnsi="Calibri"/>
          <w:b w:val="0"/>
          <w:i w:val="0"/>
          <w:sz w:val="20"/>
        </w:rPr>
        <w:t xml:space="preserve">  6. Confirm the document follows the company style guide: fonts, colors, headers, page numbers, and logo placement.</w:t>
      </w:r>
    </w:p>
    <w:p>
      <w:r>
        <w:rPr>
          <w:rFonts w:ascii="Calibri" w:hAnsi="Calibri"/>
          <w:b w:val="0"/>
          <w:i w:val="0"/>
          <w:sz w:val="20"/>
        </w:rPr>
        <w:t xml:space="preserve">  7. Remove all internal comments, tracked changes, and personal notes before submitting.</w:t>
      </w:r>
    </w:p>
    <w:p>
      <w:r>
        <w:rPr>
          <w:rFonts w:ascii="Calibri" w:hAnsi="Calibri"/>
          <w:b w:val="0"/>
          <w:i w:val="0"/>
          <w:sz w:val="20"/>
        </w:rPr>
        <w:t xml:space="preserve">  8. Verify the file name follows the naming convention (SOP-PS-002).</w:t>
      </w:r>
    </w:p>
    <w:p>
      <w:r>
        <w:rPr>
          <w:rFonts w:ascii="Calibri" w:hAnsi="Calibri"/>
          <w:b/>
          <w:i w:val="0"/>
          <w:sz w:val="20"/>
        </w:rPr>
        <w:t>3.2 Peer Review (Technical Accuracy)</w:t>
      </w:r>
    </w:p>
    <w:p>
      <w:r>
        <w:rPr>
          <w:rFonts w:ascii="Calibri" w:hAnsi="Calibri"/>
          <w:b w:val="0"/>
          <w:i w:val="0"/>
          <w:sz w:val="20"/>
        </w:rPr>
        <w:t xml:space="preserve">  1. Submit the deliverable to a designated peer reviewer who did NOT author the document.</w:t>
      </w:r>
    </w:p>
    <w:p>
      <w:r>
        <w:rPr>
          <w:rFonts w:ascii="Calibri" w:hAnsi="Calibri"/>
          <w:b w:val="0"/>
          <w:i w:val="0"/>
          <w:sz w:val="20"/>
        </w:rPr>
        <w:t xml:space="preserve">  2. The peer reviewer has 2 business days to complete the review (unless expedited approval is granted by the Project Manager).</w:t>
      </w:r>
    </w:p>
    <w:p>
      <w:r>
        <w:rPr>
          <w:rFonts w:ascii="Calibri" w:hAnsi="Calibri"/>
          <w:b w:val="0"/>
          <w:i w:val="0"/>
          <w:sz w:val="20"/>
        </w:rPr>
        <w:t xml:space="preserve">  3. Peer reviewer checks: factual accuracy, logical flow, completeness of analysis, soundness of recommendations, and appropriate caveats/disclaimers.</w:t>
      </w:r>
    </w:p>
    <w:p>
      <w:r>
        <w:rPr>
          <w:rFonts w:ascii="Calibri" w:hAnsi="Calibri"/>
          <w:b w:val="0"/>
          <w:i w:val="0"/>
          <w:sz w:val="20"/>
        </w:rPr>
        <w:t xml:space="preserve">  4. Peer reviewer uses Track Changes to mark suggested edits and inserts comments for questions.</w:t>
      </w:r>
    </w:p>
    <w:p>
      <w:r>
        <w:rPr>
          <w:rFonts w:ascii="Calibri" w:hAnsi="Calibri"/>
          <w:b w:val="0"/>
          <w:i w:val="0"/>
          <w:sz w:val="20"/>
        </w:rPr>
        <w:t xml:space="preserve">  5. Peer reviewer completes the Peer Review Sign-Off section of Form QA-010.</w:t>
      </w:r>
    </w:p>
    <w:p>
      <w:r>
        <w:rPr>
          <w:rFonts w:ascii="Calibri" w:hAnsi="Calibri"/>
          <w:b w:val="0"/>
          <w:i w:val="0"/>
          <w:sz w:val="20"/>
        </w:rPr>
        <w:t xml:space="preserve">  6. IF significant issues are found: return to author for revision. Author addresses all comments and resubmits.</w:t>
      </w:r>
    </w:p>
    <w:p>
      <w:r>
        <w:rPr>
          <w:rFonts w:ascii="Calibri" w:hAnsi="Calibri"/>
          <w:b w:val="0"/>
          <w:i w:val="0"/>
          <w:sz w:val="20"/>
        </w:rPr>
        <w:t xml:space="preserve">  7. IF minor issues only: author incorporates edits and proceeds to formatting review.</w:t>
      </w:r>
    </w:p>
    <w:p>
      <w:r>
        <w:rPr>
          <w:rFonts w:ascii="Calibri" w:hAnsi="Calibri"/>
          <w:b/>
          <w:i w:val="0"/>
          <w:sz w:val="20"/>
        </w:rPr>
        <w:t>3.3 Formatting &amp; Brand Compliance Review</w:t>
      </w:r>
    </w:p>
    <w:p>
      <w:r>
        <w:rPr>
          <w:rFonts w:ascii="Calibri" w:hAnsi="Calibri"/>
          <w:b w:val="0"/>
          <w:i w:val="0"/>
          <w:sz w:val="20"/>
        </w:rPr>
        <w:t xml:space="preserve">  1. Verify the deliverable uses the correct branded template (client-specific or company standard).</w:t>
      </w:r>
    </w:p>
    <w:p>
      <w:r>
        <w:rPr>
          <w:rFonts w:ascii="Calibri" w:hAnsi="Calibri"/>
          <w:b w:val="0"/>
          <w:i w:val="0"/>
          <w:sz w:val="20"/>
        </w:rPr>
        <w:t xml:space="preserve">  2. Check: header/footer content is correct (client name, confidentiality notice, page numbers).</w:t>
      </w:r>
    </w:p>
    <w:p>
      <w:r>
        <w:rPr>
          <w:rFonts w:ascii="Calibri" w:hAnsi="Calibri"/>
          <w:b w:val="0"/>
          <w:i w:val="0"/>
          <w:sz w:val="20"/>
        </w:rPr>
        <w:t xml:space="preserve">  3. Verify all fonts are Calibri (body) and Calibri Bold (headings) unless client template specifies otherwise.</w:t>
      </w:r>
    </w:p>
    <w:p>
      <w:r>
        <w:rPr>
          <w:rFonts w:ascii="Calibri" w:hAnsi="Calibri"/>
          <w:b w:val="0"/>
          <w:i w:val="0"/>
          <w:sz w:val="20"/>
        </w:rPr>
        <w:t xml:space="preserve">  4. Check that all images and charts are high-resolution and properly aligned.</w:t>
      </w:r>
    </w:p>
    <w:p>
      <w:r>
        <w:rPr>
          <w:rFonts w:ascii="Calibri" w:hAnsi="Calibri"/>
          <w:b w:val="0"/>
          <w:i w:val="0"/>
          <w:sz w:val="20"/>
        </w:rPr>
        <w:t xml:space="preserve">  5. Verify table formatting is consistent throughout the document.</w:t>
      </w:r>
    </w:p>
    <w:p>
      <w:r>
        <w:rPr>
          <w:rFonts w:ascii="Calibri" w:hAnsi="Calibri"/>
          <w:b w:val="0"/>
          <w:i w:val="0"/>
          <w:sz w:val="20"/>
        </w:rPr>
        <w:t xml:space="preserve">  6. Confirm the table of contents (if present) is accurate and page numbers are correct.</w:t>
      </w:r>
    </w:p>
    <w:p>
      <w:r>
        <w:rPr>
          <w:rFonts w:ascii="Calibri" w:hAnsi="Calibri"/>
          <w:b w:val="0"/>
          <w:i w:val="0"/>
          <w:sz w:val="20"/>
        </w:rPr>
        <w:t xml:space="preserve">  7. Check print layout: ensure no orphaned headings, split tables, or awkward page breaks.</w:t>
      </w:r>
    </w:p>
    <w:p>
      <w:r>
        <w:rPr>
          <w:rFonts w:ascii="Calibri" w:hAnsi="Calibri"/>
          <w:b/>
          <w:i w:val="0"/>
          <w:sz w:val="20"/>
        </w:rPr>
        <w:t>3.4 Final Approval Routing</w:t>
      </w:r>
    </w:p>
    <w:p>
      <w:r>
        <w:rPr>
          <w:rFonts w:ascii="Calibri" w:hAnsi="Calibri"/>
          <w:b w:val="0"/>
          <w:i w:val="0"/>
          <w:sz w:val="20"/>
        </w:rPr>
        <w:t xml:space="preserve">  1. After peer review and formatting review are complete, route the deliverable to the Engagement Lead for final approval.</w:t>
      </w:r>
    </w:p>
    <w:p>
      <w:r>
        <w:rPr>
          <w:rFonts w:ascii="Calibri" w:hAnsi="Calibri"/>
          <w:b w:val="0"/>
          <w:i w:val="0"/>
          <w:sz w:val="20"/>
        </w:rPr>
        <w:t xml:space="preserve">  2. Engagement Lead reviews: strategic alignment, appropriate messaging, client sensitivity, and overall quality.</w:t>
      </w:r>
    </w:p>
    <w:p>
      <w:r>
        <w:rPr>
          <w:rFonts w:ascii="Calibri" w:hAnsi="Calibri"/>
          <w:b w:val="0"/>
          <w:i w:val="0"/>
          <w:sz w:val="20"/>
        </w:rPr>
        <w:t xml:space="preserve">  3. Engagement Lead either approves (signs Form QA-010) or returns with comments for revision.</w:t>
      </w:r>
    </w:p>
    <w:p>
      <w:r>
        <w:rPr>
          <w:rFonts w:ascii="Calibri" w:hAnsi="Calibri"/>
          <w:b w:val="0"/>
          <w:i w:val="0"/>
          <w:sz w:val="20"/>
        </w:rPr>
        <w:t xml:space="preserve">  4. For high-value or high-risk deliverables (board presentations, regulatory submissions, legal opinions): require Partner-level approval in addition to Engagement Lead.</w:t>
      </w:r>
    </w:p>
    <w:p>
      <w:r>
        <w:rPr>
          <w:rFonts w:ascii="Calibri" w:hAnsi="Calibri"/>
          <w:b w:val="0"/>
          <w:i w:val="0"/>
          <w:sz w:val="20"/>
        </w:rPr>
        <w:t xml:space="preserve">  5. Upon final approval, save the approved version to the 03-Deliverables client folder.</w:t>
      </w:r>
    </w:p>
    <w:p>
      <w:r>
        <w:rPr>
          <w:rFonts w:ascii="Calibri" w:hAnsi="Calibri"/>
          <w:b/>
          <w:i w:val="0"/>
          <w:sz w:val="20"/>
        </w:rPr>
        <w:t>3.5 Delivery to Client</w:t>
      </w:r>
    </w:p>
    <w:p>
      <w:r>
        <w:rPr>
          <w:rFonts w:ascii="Calibri" w:hAnsi="Calibri"/>
          <w:b w:val="0"/>
          <w:i w:val="0"/>
          <w:sz w:val="20"/>
        </w:rPr>
        <w:t xml:space="preserve">  1. Deliver the approved document to the client via the agreed communication channel (email, portal, secure file transfer).</w:t>
      </w:r>
    </w:p>
    <w:p>
      <w:r>
        <w:rPr>
          <w:rFonts w:ascii="Calibri" w:hAnsi="Calibri"/>
          <w:b w:val="0"/>
          <w:i w:val="0"/>
          <w:sz w:val="20"/>
        </w:rPr>
        <w:t xml:space="preserve">  2. Include a brief cover message summarizing the deliverable, key findings, and any items requiring client action.</w:t>
      </w:r>
    </w:p>
    <w:p>
      <w:r>
        <w:rPr>
          <w:rFonts w:ascii="Calibri" w:hAnsi="Calibri"/>
          <w:b w:val="0"/>
          <w:i w:val="0"/>
          <w:sz w:val="20"/>
        </w:rPr>
        <w:t xml:space="preserve">  3. IF the deliverable contains sensitive data: use encrypted email or secure file sharing. Do NOT send via standard email.</w:t>
      </w:r>
    </w:p>
    <w:p>
      <w:r>
        <w:rPr>
          <w:rFonts w:ascii="Calibri" w:hAnsi="Calibri"/>
          <w:b w:val="0"/>
          <w:i w:val="0"/>
          <w:sz w:val="20"/>
        </w:rPr>
        <w:t xml:space="preserve">  4. Confirm receipt with the client within 48 hours. Log the delivery date in the project management tool.</w:t>
      </w:r>
    </w:p>
    <w:p>
      <w:r>
        <w:rPr>
          <w:rFonts w:ascii="Calibri" w:hAnsi="Calibri"/>
          <w:b w:val="0"/>
          <w:i w:val="0"/>
          <w:sz w:val="20"/>
        </w:rPr>
        <w:t xml:space="preserve">  5. Schedule a review meeting with the client to walk through the deliverable (recommended for all major reports).</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SOP-PS-004: Invoicing &amp; Accounts Receivable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SOP-PS-004</w:t>
            </w:r>
          </w:p>
        </w:tc>
      </w:tr>
      <w:tr>
        <w:tc>
          <w:tcPr>
            <w:tcW w:type="dxa" w:w="4703"/>
          </w:tcPr>
          <w:p>
            <w:r/>
            <w:r>
              <w:rPr>
                <w:rFonts w:ascii="Calibri" w:hAnsi="Calibri"/>
                <w:b/>
                <w:sz w:val="20"/>
              </w:rPr>
              <w:t>Title</w:t>
            </w:r>
          </w:p>
        </w:tc>
        <w:tc>
          <w:tcPr>
            <w:tcW w:type="dxa" w:w="4703"/>
          </w:tcPr>
          <w:p>
            <w:r/>
            <w:r>
              <w:rPr>
                <w:rFonts w:ascii="Calibri" w:hAnsi="Calibri"/>
                <w:sz w:val="20"/>
              </w:rPr>
              <w:t>Invoicing &amp; Accounts Receivable</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Finance / Client Services</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standardized process for creating, approving, sending, and following up on client invoices to ensure timely revenue collection and accurate financial records.</w:t>
      </w:r>
    </w:p>
    <w:p>
      <w:pPr>
        <w:pStyle w:val="Heading2"/>
      </w:pPr>
      <w:r>
        <w:rPr>
          <w:rFonts w:ascii="Calibri" w:hAnsi="Calibri"/>
          <w:color w:val="1A3A5C"/>
        </w:rPr>
        <w:t>2. Scope</w:t>
      </w:r>
    </w:p>
    <w:p>
      <w:r>
        <w:rPr>
          <w:rFonts w:ascii="Calibri" w:hAnsi="Calibri"/>
          <w:b w:val="0"/>
          <w:i w:val="0"/>
          <w:sz w:val="20"/>
        </w:rPr>
        <w:t>This SOP applies to all client invoicing across all engagement types (time and materials, fixed fee, milestone-based, and retainer). It covers the complete invoice lifecycle from creation through cash receipt or write-off.</w:t>
      </w:r>
    </w:p>
    <w:p>
      <w:pPr>
        <w:pStyle w:val="Heading2"/>
      </w:pPr>
      <w:r>
        <w:rPr>
          <w:rFonts w:ascii="Calibri" w:hAnsi="Calibri"/>
          <w:color w:val="1A3A5C"/>
        </w:rPr>
        <w:t>3. Procedure</w:t>
      </w:r>
    </w:p>
    <w:p>
      <w:r>
        <w:rPr>
          <w:rFonts w:ascii="Calibri" w:hAnsi="Calibri"/>
          <w:b/>
          <w:i w:val="0"/>
          <w:sz w:val="20"/>
        </w:rPr>
        <w:t>3.1 Invoice Creation</w:t>
      </w:r>
    </w:p>
    <w:p>
      <w:r>
        <w:rPr>
          <w:rFonts w:ascii="Calibri" w:hAnsi="Calibri"/>
          <w:b w:val="0"/>
          <w:i w:val="0"/>
          <w:sz w:val="20"/>
        </w:rPr>
        <w:t xml:space="preserve">  1. On the designated billing date (1st or 15th of month, or upon milestone completion), Finance pulls the approved time and expense entries from the time tracking system.</w:t>
      </w:r>
    </w:p>
    <w:p>
      <w:r>
        <w:rPr>
          <w:rFonts w:ascii="Calibri" w:hAnsi="Calibri"/>
          <w:b w:val="0"/>
          <w:i w:val="0"/>
          <w:sz w:val="20"/>
        </w:rPr>
        <w:t xml:space="preserve">  2. Create the invoice using the approved invoice template. Include: invoice number (INV-YYYY-####), client name, billing address, engagement reference, billing period, detailed line items, applicable taxes, and payment terms.</w:t>
      </w:r>
    </w:p>
    <w:p>
      <w:r>
        <w:rPr>
          <w:rFonts w:ascii="Calibri" w:hAnsi="Calibri"/>
          <w:b w:val="0"/>
          <w:i w:val="0"/>
          <w:sz w:val="20"/>
        </w:rPr>
        <w:t xml:space="preserve">  3. For time-and-materials engagements: list each team member's hours, billing rate, and total by person.</w:t>
      </w:r>
    </w:p>
    <w:p>
      <w:r>
        <w:rPr>
          <w:rFonts w:ascii="Calibri" w:hAnsi="Calibri"/>
          <w:b w:val="0"/>
          <w:i w:val="0"/>
          <w:sz w:val="20"/>
        </w:rPr>
        <w:t xml:space="preserve">  4. For fixed-fee engagements: reference the milestone or phase being invoiced as defined in the SOW.</w:t>
      </w:r>
    </w:p>
    <w:p>
      <w:r>
        <w:rPr>
          <w:rFonts w:ascii="Calibri" w:hAnsi="Calibri"/>
          <w:b w:val="0"/>
          <w:i w:val="0"/>
          <w:sz w:val="20"/>
        </w:rPr>
        <w:t xml:space="preserve">  5. For retainer engagements: reference the retainer agreement and period covered.</w:t>
      </w:r>
    </w:p>
    <w:p>
      <w:r>
        <w:rPr>
          <w:rFonts w:ascii="Calibri" w:hAnsi="Calibri"/>
          <w:b w:val="0"/>
          <w:i w:val="0"/>
          <w:sz w:val="20"/>
        </w:rPr>
        <w:t xml:space="preserve">  6. Verify all rates match the signed Engagement Letter or SOW. Flag any discrepancies to the Client Services Manager before sending.</w:t>
      </w:r>
    </w:p>
    <w:p>
      <w:r>
        <w:rPr>
          <w:rFonts w:ascii="Calibri" w:hAnsi="Calibri"/>
          <w:b w:val="0"/>
          <w:i w:val="0"/>
          <w:sz w:val="20"/>
        </w:rPr>
        <w:t xml:space="preserve">  7. Attach supporting documentation as required by the client (timesheets, expense receipts, progress reports).</w:t>
      </w:r>
    </w:p>
    <w:p>
      <w:r>
        <w:rPr>
          <w:rFonts w:ascii="Calibri" w:hAnsi="Calibri"/>
          <w:b/>
          <w:i w:val="0"/>
          <w:sz w:val="20"/>
        </w:rPr>
        <w:t>3.2 Invoice Approval</w:t>
      </w:r>
    </w:p>
    <w:p>
      <w:r>
        <w:rPr>
          <w:rFonts w:ascii="Calibri" w:hAnsi="Calibri"/>
          <w:b w:val="0"/>
          <w:i w:val="0"/>
          <w:sz w:val="20"/>
        </w:rPr>
        <w:t xml:space="preserve">  1. Route the draft invoice to the Engagement Lead for review and approval.</w:t>
      </w:r>
    </w:p>
    <w:p>
      <w:r>
        <w:rPr>
          <w:rFonts w:ascii="Calibri" w:hAnsi="Calibri"/>
          <w:b w:val="0"/>
          <w:i w:val="0"/>
          <w:sz w:val="20"/>
        </w:rPr>
        <w:t xml:space="preserve">  2. Engagement Lead verifies: hours and rates are accurate, expenses are legitimate, the invoice aligns with client expectations, and there are no unbilled items that should be included.</w:t>
      </w:r>
    </w:p>
    <w:p>
      <w:r>
        <w:rPr>
          <w:rFonts w:ascii="Calibri" w:hAnsi="Calibri"/>
          <w:b w:val="0"/>
          <w:i w:val="0"/>
          <w:sz w:val="20"/>
        </w:rPr>
        <w:t xml:space="preserve">  3. Engagement Lead approves or returns with comments. Target turnaround: 1 business day.</w:t>
      </w:r>
    </w:p>
    <w:p>
      <w:r>
        <w:rPr>
          <w:rFonts w:ascii="Calibri" w:hAnsi="Calibri"/>
          <w:b w:val="0"/>
          <w:i w:val="0"/>
          <w:sz w:val="20"/>
        </w:rPr>
        <w:t xml:space="preserve">  4. For invoices exceeding $50,000: require Partner approval in addition to Engagement Lead.</w:t>
      </w:r>
    </w:p>
    <w:p>
      <w:r>
        <w:rPr>
          <w:rFonts w:ascii="Calibri" w:hAnsi="Calibri"/>
          <w:b w:val="0"/>
          <w:i w:val="0"/>
          <w:sz w:val="20"/>
        </w:rPr>
        <w:t xml:space="preserve">  5. Once approved, Finance assigns the final invoice number and records it in the billing system.</w:t>
      </w:r>
    </w:p>
    <w:p>
      <w:r>
        <w:rPr>
          <w:rFonts w:ascii="Calibri" w:hAnsi="Calibri"/>
          <w:b/>
          <w:i w:val="0"/>
          <w:sz w:val="20"/>
        </w:rPr>
        <w:t>3.3 Invoice Delivery</w:t>
      </w:r>
    </w:p>
    <w:p>
      <w:r>
        <w:rPr>
          <w:rFonts w:ascii="Calibri" w:hAnsi="Calibri"/>
          <w:b w:val="0"/>
          <w:i w:val="0"/>
          <w:sz w:val="20"/>
        </w:rPr>
        <w:t xml:space="preserve">  1. Send the approved invoice to the client's designated billing contact (per the Engagement Letter).</w:t>
      </w:r>
    </w:p>
    <w:p>
      <w:r>
        <w:rPr>
          <w:rFonts w:ascii="Calibri" w:hAnsi="Calibri"/>
          <w:b w:val="0"/>
          <w:i w:val="0"/>
          <w:sz w:val="20"/>
        </w:rPr>
        <w:t xml:space="preserve">  2. Delivery method: email with PDF attachment unless the client has specified a billing portal or other method.</w:t>
      </w:r>
    </w:p>
    <w:p>
      <w:r>
        <w:rPr>
          <w:rFonts w:ascii="Calibri" w:hAnsi="Calibri"/>
          <w:b w:val="0"/>
          <w:i w:val="0"/>
          <w:sz w:val="20"/>
        </w:rPr>
        <w:t xml:space="preserve">  3. Include a professional cover email referencing the engagement, invoice number, amount, and payment due date.</w:t>
      </w:r>
    </w:p>
    <w:p>
      <w:r>
        <w:rPr>
          <w:rFonts w:ascii="Calibri" w:hAnsi="Calibri"/>
          <w:b w:val="0"/>
          <w:i w:val="0"/>
          <w:sz w:val="20"/>
        </w:rPr>
        <w:t xml:space="preserve">  4. CC the Client Services Manager and Engagement Lead on the invoice email.</w:t>
      </w:r>
    </w:p>
    <w:p>
      <w:r>
        <w:rPr>
          <w:rFonts w:ascii="Calibri" w:hAnsi="Calibri"/>
          <w:b w:val="0"/>
          <w:i w:val="0"/>
          <w:sz w:val="20"/>
        </w:rPr>
        <w:t xml:space="preserve">  5. Record the invoice sent date in the billing system. Start the payment terms clock.</w:t>
      </w:r>
    </w:p>
    <w:p>
      <w:r>
        <w:rPr>
          <w:rFonts w:ascii="Calibri" w:hAnsi="Calibri"/>
          <w:b/>
          <w:i w:val="0"/>
          <w:sz w:val="20"/>
        </w:rPr>
        <w:t>3.4 Follow-Up Schedule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Days Past Due</w:t>
            </w:r>
          </w:p>
        </w:tc>
        <w:tc>
          <w:tcPr>
            <w:tcW w:type="dxa" w:w="3135"/>
            <w:shd w:fill="1A3A5C"/>
          </w:tcPr>
          <w:p>
            <w:r>
              <w:rPr>
                <w:b/>
                <w:color w:val="FFFFFF"/>
                <w:sz w:val="20"/>
              </w:rPr>
              <w:t>Action</w:t>
            </w:r>
          </w:p>
        </w:tc>
        <w:tc>
          <w:tcPr>
            <w:tcW w:type="dxa" w:w="3135"/>
            <w:shd w:fill="1A3A5C"/>
          </w:tcPr>
          <w:p>
            <w:r>
              <w:rPr>
                <w:b/>
                <w:color w:val="FFFFFF"/>
                <w:sz w:val="20"/>
              </w:rPr>
              <w:t>Owner</w:t>
            </w:r>
          </w:p>
        </w:tc>
      </w:tr>
      <w:tr>
        <w:tc>
          <w:tcPr>
            <w:tcW w:type="dxa" w:w="3135"/>
          </w:tcPr>
          <w:p>
            <w:r/>
            <w:r>
              <w:rPr>
                <w:rFonts w:ascii="Calibri" w:hAnsi="Calibri"/>
                <w:sz w:val="20"/>
              </w:rPr>
              <w:t>7 days</w:t>
            </w:r>
          </w:p>
        </w:tc>
        <w:tc>
          <w:tcPr>
            <w:tcW w:type="dxa" w:w="3135"/>
          </w:tcPr>
          <w:p>
            <w:r/>
            <w:r>
              <w:rPr>
                <w:rFonts w:ascii="Calibri" w:hAnsi="Calibri"/>
                <w:sz w:val="20"/>
              </w:rPr>
              <w:t>Courtesy reminder email to billing contact</w:t>
            </w:r>
          </w:p>
        </w:tc>
        <w:tc>
          <w:tcPr>
            <w:tcW w:type="dxa" w:w="3135"/>
          </w:tcPr>
          <w:p>
            <w:r/>
            <w:r>
              <w:rPr>
                <w:rFonts w:ascii="Calibri" w:hAnsi="Calibri"/>
                <w:sz w:val="20"/>
              </w:rPr>
              <w:t>Finance</w:t>
            </w:r>
          </w:p>
        </w:tc>
      </w:tr>
      <w:tr>
        <w:tc>
          <w:tcPr>
            <w:tcW w:type="dxa" w:w="3135"/>
          </w:tcPr>
          <w:p>
            <w:r/>
            <w:r>
              <w:rPr>
                <w:rFonts w:ascii="Calibri" w:hAnsi="Calibri"/>
                <w:sz w:val="20"/>
              </w:rPr>
              <w:t>15 days</w:t>
            </w:r>
          </w:p>
        </w:tc>
        <w:tc>
          <w:tcPr>
            <w:tcW w:type="dxa" w:w="3135"/>
          </w:tcPr>
          <w:p>
            <w:r/>
            <w:r>
              <w:rPr>
                <w:rFonts w:ascii="Calibri" w:hAnsi="Calibri"/>
                <w:sz w:val="20"/>
              </w:rPr>
              <w:t>Phone call to billing contact; email to primary client contact</w:t>
            </w:r>
          </w:p>
        </w:tc>
        <w:tc>
          <w:tcPr>
            <w:tcW w:type="dxa" w:w="3135"/>
          </w:tcPr>
          <w:p>
            <w:r/>
            <w:r>
              <w:rPr>
                <w:rFonts w:ascii="Calibri" w:hAnsi="Calibri"/>
                <w:sz w:val="20"/>
              </w:rPr>
              <w:t>Finance + CSM</w:t>
            </w:r>
          </w:p>
        </w:tc>
      </w:tr>
      <w:tr>
        <w:tc>
          <w:tcPr>
            <w:tcW w:type="dxa" w:w="3135"/>
          </w:tcPr>
          <w:p>
            <w:r/>
            <w:r>
              <w:rPr>
                <w:rFonts w:ascii="Calibri" w:hAnsi="Calibri"/>
                <w:sz w:val="20"/>
              </w:rPr>
              <w:t>30 days</w:t>
            </w:r>
          </w:p>
        </w:tc>
        <w:tc>
          <w:tcPr>
            <w:tcW w:type="dxa" w:w="3135"/>
          </w:tcPr>
          <w:p>
            <w:r/>
            <w:r>
              <w:rPr>
                <w:rFonts w:ascii="Calibri" w:hAnsi="Calibri"/>
                <w:sz w:val="20"/>
              </w:rPr>
              <w:t>Formal past-due notice; engagement lead contacts client sponsor</w:t>
            </w:r>
          </w:p>
        </w:tc>
        <w:tc>
          <w:tcPr>
            <w:tcW w:type="dxa" w:w="3135"/>
          </w:tcPr>
          <w:p>
            <w:r/>
            <w:r>
              <w:rPr>
                <w:rFonts w:ascii="Calibri" w:hAnsi="Calibri"/>
                <w:sz w:val="20"/>
              </w:rPr>
              <w:t>Engagement Lead</w:t>
            </w:r>
          </w:p>
        </w:tc>
      </w:tr>
      <w:tr>
        <w:tc>
          <w:tcPr>
            <w:tcW w:type="dxa" w:w="3135"/>
          </w:tcPr>
          <w:p>
            <w:r/>
            <w:r>
              <w:rPr>
                <w:rFonts w:ascii="Calibri" w:hAnsi="Calibri"/>
                <w:sz w:val="20"/>
              </w:rPr>
              <w:t>45 days</w:t>
            </w:r>
          </w:p>
        </w:tc>
        <w:tc>
          <w:tcPr>
            <w:tcW w:type="dxa" w:w="3135"/>
          </w:tcPr>
          <w:p>
            <w:r/>
            <w:r>
              <w:rPr>
                <w:rFonts w:ascii="Calibri" w:hAnsi="Calibri"/>
                <w:sz w:val="20"/>
              </w:rPr>
              <w:t>Escalation to Partner; consider pausing active work</w:t>
            </w:r>
          </w:p>
        </w:tc>
        <w:tc>
          <w:tcPr>
            <w:tcW w:type="dxa" w:w="3135"/>
          </w:tcPr>
          <w:p>
            <w:r/>
            <w:r>
              <w:rPr>
                <w:rFonts w:ascii="Calibri" w:hAnsi="Calibri"/>
                <w:sz w:val="20"/>
              </w:rPr>
              <w:t>Partner</w:t>
            </w:r>
          </w:p>
        </w:tc>
      </w:tr>
      <w:tr>
        <w:tc>
          <w:tcPr>
            <w:tcW w:type="dxa" w:w="3135"/>
          </w:tcPr>
          <w:p>
            <w:r/>
            <w:r>
              <w:rPr>
                <w:rFonts w:ascii="Calibri" w:hAnsi="Calibri"/>
                <w:sz w:val="20"/>
              </w:rPr>
              <w:t>60 days</w:t>
            </w:r>
          </w:p>
        </w:tc>
        <w:tc>
          <w:tcPr>
            <w:tcW w:type="dxa" w:w="3135"/>
          </w:tcPr>
          <w:p>
            <w:r/>
            <w:r>
              <w:rPr>
                <w:rFonts w:ascii="Calibri" w:hAnsi="Calibri"/>
                <w:sz w:val="20"/>
              </w:rPr>
              <w:t>Final demand letter; legal review of collection options</w:t>
            </w:r>
          </w:p>
        </w:tc>
        <w:tc>
          <w:tcPr>
            <w:tcW w:type="dxa" w:w="3135"/>
          </w:tcPr>
          <w:p>
            <w:r/>
            <w:r>
              <w:rPr>
                <w:rFonts w:ascii="Calibri" w:hAnsi="Calibri"/>
                <w:sz w:val="20"/>
              </w:rPr>
              <w:t>Partner + Legal</w:t>
            </w:r>
          </w:p>
        </w:tc>
      </w:tr>
      <w:tr>
        <w:tc>
          <w:tcPr>
            <w:tcW w:type="dxa" w:w="3135"/>
          </w:tcPr>
          <w:p>
            <w:r/>
            <w:r>
              <w:rPr>
                <w:rFonts w:ascii="Calibri" w:hAnsi="Calibri"/>
                <w:sz w:val="20"/>
              </w:rPr>
              <w:t>90+ days</w:t>
            </w:r>
          </w:p>
        </w:tc>
        <w:tc>
          <w:tcPr>
            <w:tcW w:type="dxa" w:w="3135"/>
          </w:tcPr>
          <w:p>
            <w:r/>
            <w:r>
              <w:rPr>
                <w:rFonts w:ascii="Calibri" w:hAnsi="Calibri"/>
                <w:sz w:val="20"/>
              </w:rPr>
              <w:t>Write-off consideration per write-off criteria (see 3.5)</w:t>
            </w:r>
          </w:p>
        </w:tc>
        <w:tc>
          <w:tcPr>
            <w:tcW w:type="dxa" w:w="3135"/>
          </w:tcPr>
          <w:p>
            <w:r/>
            <w:r>
              <w:rPr>
                <w:rFonts w:ascii="Calibri" w:hAnsi="Calibri"/>
                <w:sz w:val="20"/>
              </w:rPr>
              <w:t>Finance + Partner</w:t>
            </w:r>
          </w:p>
        </w:tc>
      </w:tr>
    </w:tbl>
    <w:p/>
    <w:p>
      <w:r>
        <w:rPr>
          <w:rFonts w:ascii="Calibri" w:hAnsi="Calibri"/>
          <w:b/>
          <w:i w:val="0"/>
          <w:sz w:val="20"/>
        </w:rPr>
        <w:t>3.5 Write-Off Criteria</w:t>
      </w:r>
    </w:p>
    <w:p>
      <w:r>
        <w:rPr>
          <w:rFonts w:ascii="Calibri" w:hAnsi="Calibri"/>
          <w:b w:val="0"/>
          <w:i w:val="0"/>
          <w:sz w:val="20"/>
        </w:rPr>
        <w:t xml:space="preserve">  1. Invoices may be considered for write-off only after all collection steps (3.4) have been exhausted.</w:t>
      </w:r>
    </w:p>
    <w:p>
      <w:r>
        <w:rPr>
          <w:rFonts w:ascii="Calibri" w:hAnsi="Calibri"/>
          <w:b w:val="0"/>
          <w:i w:val="0"/>
          <w:sz w:val="20"/>
        </w:rPr>
        <w:t xml:space="preserve">  2. Write-off requests require documentation of: all collection attempts, client communications, and reason for non-payment.</w:t>
      </w:r>
    </w:p>
    <w:p>
      <w:r>
        <w:rPr>
          <w:rFonts w:ascii="Calibri" w:hAnsi="Calibri"/>
          <w:b w:val="0"/>
          <w:i w:val="0"/>
          <w:sz w:val="20"/>
        </w:rPr>
        <w:t xml:space="preserve">  3. Write-offs under $5,000: approved by Finance Director.</w:t>
      </w:r>
    </w:p>
    <w:p>
      <w:r>
        <w:rPr>
          <w:rFonts w:ascii="Calibri" w:hAnsi="Calibri"/>
          <w:b w:val="0"/>
          <w:i w:val="0"/>
          <w:sz w:val="20"/>
        </w:rPr>
        <w:t xml:space="preserve">  4. Write-offs $5,000--$25,000: approved by Managing Partner.</w:t>
      </w:r>
    </w:p>
    <w:p>
      <w:r>
        <w:rPr>
          <w:rFonts w:ascii="Calibri" w:hAnsi="Calibri"/>
          <w:b w:val="0"/>
          <w:i w:val="0"/>
          <w:sz w:val="20"/>
        </w:rPr>
        <w:t xml:space="preserve">  5. Write-offs over $25,000: approved by the executive team.</w:t>
      </w:r>
    </w:p>
    <w:p>
      <w:r>
        <w:rPr>
          <w:rFonts w:ascii="Calibri" w:hAnsi="Calibri"/>
          <w:b w:val="0"/>
          <w:i w:val="0"/>
          <w:sz w:val="20"/>
        </w:rPr>
        <w:t xml:space="preserve">  6. All write-offs are logged in the write-off register and reviewed quarterly for patterns.</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SOP-PS-005: Confidential Information Handling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SOP-PS-005</w:t>
            </w:r>
          </w:p>
        </w:tc>
      </w:tr>
      <w:tr>
        <w:tc>
          <w:tcPr>
            <w:tcW w:type="dxa" w:w="4703"/>
          </w:tcPr>
          <w:p>
            <w:r/>
            <w:r>
              <w:rPr>
                <w:rFonts w:ascii="Calibri" w:hAnsi="Calibri"/>
                <w:b/>
                <w:sz w:val="20"/>
              </w:rPr>
              <w:t>Title</w:t>
            </w:r>
          </w:p>
        </w:tc>
        <w:tc>
          <w:tcPr>
            <w:tcW w:type="dxa" w:w="4703"/>
          </w:tcPr>
          <w:p>
            <w:r/>
            <w:r>
              <w:rPr>
                <w:rFonts w:ascii="Calibri" w:hAnsi="Calibri"/>
                <w:sz w:val="20"/>
              </w:rPr>
              <w:t>Confidential Information Handling</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All Departments / Legal / IT</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mandatory procedures for classifying, storing, sharing, and disposing of confidential information to protect client data, company trade secrets, and personal information in compliance with applicable privacy legislation.</w:t>
      </w:r>
    </w:p>
    <w:p>
      <w:pPr>
        <w:pStyle w:val="Heading2"/>
      </w:pPr>
      <w:r>
        <w:rPr>
          <w:rFonts w:ascii="Calibri" w:hAnsi="Calibri"/>
          <w:color w:val="1A3A5C"/>
        </w:rPr>
        <w:t>2. Scope</w:t>
      </w:r>
    </w:p>
    <w:p>
      <w:r>
        <w:rPr>
          <w:rFonts w:ascii="Calibri" w:hAnsi="Calibri"/>
          <w:b w:val="0"/>
          <w:i w:val="0"/>
          <w:sz w:val="20"/>
        </w:rPr>
        <w:t>This SOP applies to all employees, contractors, temporary staff, and third-party vendors who access, handle, or process confidential information in any form (digital, paper, verbal). It covers all client data, employee personal information, financial records, and proprietary business information.</w:t>
      </w:r>
    </w:p>
    <w:p>
      <w:pPr>
        <w:pStyle w:val="Heading2"/>
      </w:pPr>
      <w:r>
        <w:rPr>
          <w:rFonts w:ascii="Calibri" w:hAnsi="Calibri"/>
          <w:color w:val="1A3A5C"/>
        </w:rPr>
        <w:t>3. Procedure</w:t>
      </w:r>
    </w:p>
    <w:p>
      <w:r>
        <w:rPr>
          <w:rFonts w:ascii="Calibri" w:hAnsi="Calibri"/>
          <w:b/>
          <w:i w:val="0"/>
          <w:sz w:val="20"/>
        </w:rPr>
        <w:t>3.1 Information Classification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Level</w:t>
            </w:r>
          </w:p>
        </w:tc>
        <w:tc>
          <w:tcPr>
            <w:tcW w:type="dxa" w:w="2351"/>
            <w:shd w:fill="1A3A5C"/>
          </w:tcPr>
          <w:p>
            <w:r>
              <w:rPr>
                <w:b/>
                <w:color w:val="FFFFFF"/>
                <w:sz w:val="20"/>
              </w:rPr>
              <w:t>Description</w:t>
            </w:r>
          </w:p>
        </w:tc>
        <w:tc>
          <w:tcPr>
            <w:tcW w:type="dxa" w:w="2351"/>
            <w:shd w:fill="1A3A5C"/>
          </w:tcPr>
          <w:p>
            <w:r>
              <w:rPr>
                <w:b/>
                <w:color w:val="FFFFFF"/>
                <w:sz w:val="20"/>
              </w:rPr>
              <w:t>Examples</w:t>
            </w:r>
          </w:p>
        </w:tc>
        <w:tc>
          <w:tcPr>
            <w:tcW w:type="dxa" w:w="2351"/>
            <w:shd w:fill="1A3A5C"/>
          </w:tcPr>
          <w:p>
            <w:r>
              <w:rPr>
                <w:b/>
                <w:color w:val="FFFFFF"/>
                <w:sz w:val="20"/>
              </w:rPr>
              <w:t>Handling</w:t>
            </w:r>
          </w:p>
        </w:tc>
      </w:tr>
      <w:tr>
        <w:tc>
          <w:tcPr>
            <w:tcW w:type="dxa" w:w="2351"/>
          </w:tcPr>
          <w:p>
            <w:r/>
            <w:r>
              <w:rPr>
                <w:rFonts w:ascii="Calibri" w:hAnsi="Calibri"/>
                <w:sz w:val="20"/>
              </w:rPr>
              <w:t>PUBLIC</w:t>
            </w:r>
          </w:p>
        </w:tc>
        <w:tc>
          <w:tcPr>
            <w:tcW w:type="dxa" w:w="2351"/>
          </w:tcPr>
          <w:p>
            <w:r/>
            <w:r>
              <w:rPr>
                <w:rFonts w:ascii="Calibri" w:hAnsi="Calibri"/>
                <w:sz w:val="20"/>
              </w:rPr>
              <w:t>Information approved for external distribution</w:t>
            </w:r>
          </w:p>
        </w:tc>
        <w:tc>
          <w:tcPr>
            <w:tcW w:type="dxa" w:w="2351"/>
          </w:tcPr>
          <w:p>
            <w:r/>
            <w:r>
              <w:rPr>
                <w:rFonts w:ascii="Calibri" w:hAnsi="Calibri"/>
                <w:sz w:val="20"/>
              </w:rPr>
              <w:t>Marketing materials, press releases, published reports</w:t>
            </w:r>
          </w:p>
        </w:tc>
        <w:tc>
          <w:tcPr>
            <w:tcW w:type="dxa" w:w="2351"/>
          </w:tcPr>
          <w:p>
            <w:r/>
            <w:r>
              <w:rPr>
                <w:rFonts w:ascii="Calibri" w:hAnsi="Calibri"/>
                <w:sz w:val="20"/>
              </w:rPr>
              <w:t>No restrictions</w:t>
            </w:r>
          </w:p>
        </w:tc>
      </w:tr>
      <w:tr>
        <w:tc>
          <w:tcPr>
            <w:tcW w:type="dxa" w:w="2351"/>
          </w:tcPr>
          <w:p>
            <w:r/>
            <w:r>
              <w:rPr>
                <w:rFonts w:ascii="Calibri" w:hAnsi="Calibri"/>
                <w:sz w:val="20"/>
              </w:rPr>
              <w:t>INTERNAL</w:t>
            </w:r>
          </w:p>
        </w:tc>
        <w:tc>
          <w:tcPr>
            <w:tcW w:type="dxa" w:w="2351"/>
          </w:tcPr>
          <w:p>
            <w:r/>
            <w:r>
              <w:rPr>
                <w:rFonts w:ascii="Calibri" w:hAnsi="Calibri"/>
                <w:sz w:val="20"/>
              </w:rPr>
              <w:t>Information for internal use only; low risk if disclosed</w:t>
            </w:r>
          </w:p>
        </w:tc>
        <w:tc>
          <w:tcPr>
            <w:tcW w:type="dxa" w:w="2351"/>
          </w:tcPr>
          <w:p>
            <w:r/>
            <w:r>
              <w:rPr>
                <w:rFonts w:ascii="Calibri" w:hAnsi="Calibri"/>
                <w:sz w:val="20"/>
              </w:rPr>
              <w:t>Internal memos, org charts, general policies</w:t>
            </w:r>
          </w:p>
        </w:tc>
        <w:tc>
          <w:tcPr>
            <w:tcW w:type="dxa" w:w="2351"/>
          </w:tcPr>
          <w:p>
            <w:r/>
            <w:r>
              <w:rPr>
                <w:rFonts w:ascii="Calibri" w:hAnsi="Calibri"/>
                <w:sz w:val="20"/>
              </w:rPr>
              <w:t>Internal sharing OK; no external distribution</w:t>
            </w:r>
          </w:p>
        </w:tc>
      </w:tr>
      <w:tr>
        <w:tc>
          <w:tcPr>
            <w:tcW w:type="dxa" w:w="2351"/>
          </w:tcPr>
          <w:p>
            <w:r/>
            <w:r>
              <w:rPr>
                <w:rFonts w:ascii="Calibri" w:hAnsi="Calibri"/>
                <w:sz w:val="20"/>
              </w:rPr>
              <w:t>CONFIDENTIAL</w:t>
            </w:r>
          </w:p>
        </w:tc>
        <w:tc>
          <w:tcPr>
            <w:tcW w:type="dxa" w:w="2351"/>
          </w:tcPr>
          <w:p>
            <w:r/>
            <w:r>
              <w:rPr>
                <w:rFonts w:ascii="Calibri" w:hAnsi="Calibri"/>
                <w:sz w:val="20"/>
              </w:rPr>
              <w:t>Sensitive business information; harm if disclosed</w:t>
            </w:r>
          </w:p>
        </w:tc>
        <w:tc>
          <w:tcPr>
            <w:tcW w:type="dxa" w:w="2351"/>
          </w:tcPr>
          <w:p>
            <w:r/>
            <w:r>
              <w:rPr>
                <w:rFonts w:ascii="Calibri" w:hAnsi="Calibri"/>
                <w:sz w:val="20"/>
              </w:rPr>
              <w:t>Client data, financial reports, strategy documents, employee records</w:t>
            </w:r>
          </w:p>
        </w:tc>
        <w:tc>
          <w:tcPr>
            <w:tcW w:type="dxa" w:w="2351"/>
          </w:tcPr>
          <w:p>
            <w:r/>
            <w:r>
              <w:rPr>
                <w:rFonts w:ascii="Calibri" w:hAnsi="Calibri"/>
                <w:sz w:val="20"/>
              </w:rPr>
              <w:t>Need-to-know basis; encrypted storage and transmission</w:t>
            </w:r>
          </w:p>
        </w:tc>
      </w:tr>
      <w:tr>
        <w:tc>
          <w:tcPr>
            <w:tcW w:type="dxa" w:w="2351"/>
          </w:tcPr>
          <w:p>
            <w:r/>
            <w:r>
              <w:rPr>
                <w:rFonts w:ascii="Calibri" w:hAnsi="Calibri"/>
                <w:sz w:val="20"/>
              </w:rPr>
              <w:t>RESTRICTED</w:t>
            </w:r>
          </w:p>
        </w:tc>
        <w:tc>
          <w:tcPr>
            <w:tcW w:type="dxa" w:w="2351"/>
          </w:tcPr>
          <w:p>
            <w:r/>
            <w:r>
              <w:rPr>
                <w:rFonts w:ascii="Calibri" w:hAnsi="Calibri"/>
                <w:sz w:val="20"/>
              </w:rPr>
              <w:t>Highest sensitivity; significant legal/financial/reputational harm if disclosed</w:t>
            </w:r>
          </w:p>
        </w:tc>
        <w:tc>
          <w:tcPr>
            <w:tcW w:type="dxa" w:w="2351"/>
          </w:tcPr>
          <w:p>
            <w:r/>
            <w:r>
              <w:rPr>
                <w:rFonts w:ascii="Calibri" w:hAnsi="Calibri"/>
                <w:sz w:val="20"/>
              </w:rPr>
              <w:t>PII/PHI, credentials, trade secrets, M&amp;A data, legal opinions</w:t>
            </w:r>
          </w:p>
        </w:tc>
        <w:tc>
          <w:tcPr>
            <w:tcW w:type="dxa" w:w="2351"/>
          </w:tcPr>
          <w:p>
            <w:r/>
            <w:r>
              <w:rPr>
                <w:rFonts w:ascii="Calibri" w:hAnsi="Calibri"/>
                <w:sz w:val="20"/>
              </w:rPr>
              <w:t>Named access only; encrypted at rest and in transit; audit trail required</w:t>
            </w:r>
          </w:p>
        </w:tc>
      </w:tr>
    </w:tbl>
    <w:p/>
    <w:p>
      <w:r>
        <w:rPr>
          <w:rFonts w:ascii="Calibri" w:hAnsi="Calibri"/>
          <w:b/>
          <w:i w:val="0"/>
          <w:sz w:val="20"/>
        </w:rPr>
        <w:t>3.2 Storage Requirements</w:t>
      </w:r>
    </w:p>
    <w:p>
      <w:r>
        <w:rPr>
          <w:rFonts w:ascii="Calibri" w:hAnsi="Calibri"/>
          <w:b w:val="0"/>
          <w:i w:val="0"/>
          <w:sz w:val="20"/>
        </w:rPr>
        <w:t xml:space="preserve">  1. CONFIDENTIAL and RESTRICTED documents must be stored on encrypted company systems (cloud storage with encryption at rest enabled or encrypted local drives).</w:t>
      </w:r>
    </w:p>
    <w:p>
      <w:r>
        <w:rPr>
          <w:rFonts w:ascii="Calibri" w:hAnsi="Calibri"/>
          <w:b w:val="0"/>
          <w:i w:val="0"/>
          <w:sz w:val="20"/>
        </w:rPr>
        <w:t xml:space="preserve">  2. Never store confidential information on personal devices, USB drives, or personal cloud accounts (Google Drive personal, Dropbox personal, etc.).</w:t>
      </w:r>
    </w:p>
    <w:p>
      <w:r>
        <w:rPr>
          <w:rFonts w:ascii="Calibri" w:hAnsi="Calibri"/>
          <w:b w:val="0"/>
          <w:i w:val="0"/>
          <w:sz w:val="20"/>
        </w:rPr>
        <w:t xml:space="preserve">  3. Physical documents classified CONFIDENTIAL or RESTRICTED must be stored in locked cabinets when not in active use.</w:t>
      </w:r>
    </w:p>
    <w:p>
      <w:r>
        <w:rPr>
          <w:rFonts w:ascii="Calibri" w:hAnsi="Calibri"/>
          <w:b w:val="0"/>
          <w:i w:val="0"/>
          <w:sz w:val="20"/>
        </w:rPr>
        <w:t xml:space="preserve">  4. Workstations must be locked (Win+L or Ctrl+Cmd+Q) whenever the user steps away, even briefly.</w:t>
      </w:r>
    </w:p>
    <w:p>
      <w:r>
        <w:rPr>
          <w:rFonts w:ascii="Calibri" w:hAnsi="Calibri"/>
          <w:b w:val="0"/>
          <w:i w:val="0"/>
          <w:sz w:val="20"/>
        </w:rPr>
        <w:t xml:space="preserve">  5. Screen privacy filters are required when working on RESTRICTED information in shared or public spaces.</w:t>
      </w:r>
    </w:p>
    <w:p>
      <w:r>
        <w:rPr>
          <w:rFonts w:ascii="Calibri" w:hAnsi="Calibri"/>
          <w:b w:val="0"/>
          <w:i w:val="0"/>
          <w:sz w:val="20"/>
        </w:rPr>
        <w:t xml:space="preserve">  6. Client data subject to PIPEDA, GDPR, or HIPAA must be stored in regions compliant with the applicable regulation's data residency requirements.</w:t>
      </w:r>
    </w:p>
    <w:p>
      <w:r>
        <w:rPr>
          <w:rFonts w:ascii="Calibri" w:hAnsi="Calibri"/>
          <w:b/>
          <w:i w:val="0"/>
          <w:sz w:val="20"/>
        </w:rPr>
        <w:t>3.3 Sharing &amp; Transmission</w:t>
      </w:r>
    </w:p>
    <w:p>
      <w:r>
        <w:rPr>
          <w:rFonts w:ascii="Calibri" w:hAnsi="Calibri"/>
          <w:b w:val="0"/>
          <w:i w:val="0"/>
          <w:sz w:val="20"/>
        </w:rPr>
        <w:t xml:space="preserve">  1. CONFIDENTIAL information may be shared internally on a need-to-know basis. Use company email or approved collaboration platforms.</w:t>
      </w:r>
    </w:p>
    <w:p>
      <w:r>
        <w:rPr>
          <w:rFonts w:ascii="Calibri" w:hAnsi="Calibri"/>
          <w:b w:val="0"/>
          <w:i w:val="0"/>
          <w:sz w:val="20"/>
        </w:rPr>
        <w:t xml:space="preserve">  2. RESTRICTED information requires explicit approval from the information owner before sharing with anyone, including internal staff.</w:t>
      </w:r>
    </w:p>
    <w:p>
      <w:r>
        <w:rPr>
          <w:rFonts w:ascii="Calibri" w:hAnsi="Calibri"/>
          <w:b w:val="0"/>
          <w:i w:val="0"/>
          <w:sz w:val="20"/>
        </w:rPr>
        <w:t xml:space="preserve">  3. External transmission of CONFIDENTIAL or RESTRICTED data must use encrypted email (TLS 1.2+), encrypted file sharing, or secure client portals.</w:t>
      </w:r>
    </w:p>
    <w:p>
      <w:r>
        <w:rPr>
          <w:rFonts w:ascii="Calibri" w:hAnsi="Calibri"/>
          <w:b w:val="0"/>
          <w:i w:val="0"/>
          <w:sz w:val="20"/>
        </w:rPr>
        <w:t xml:space="preserve">  4. Never discuss CONFIDENTIAL or RESTRICTED information in public spaces, elevators, shared co-working areas, or on public transportation.</w:t>
      </w:r>
    </w:p>
    <w:p>
      <w:r>
        <w:rPr>
          <w:rFonts w:ascii="Calibri" w:hAnsi="Calibri"/>
          <w:b w:val="0"/>
          <w:i w:val="0"/>
          <w:sz w:val="20"/>
        </w:rPr>
        <w:t xml:space="preserve">  5. Phone calls involving RESTRICTED information should be conducted in private offices with doors closed.</w:t>
      </w:r>
    </w:p>
    <w:p>
      <w:r>
        <w:rPr>
          <w:rFonts w:ascii="Calibri" w:hAnsi="Calibri"/>
          <w:b w:val="0"/>
          <w:i w:val="0"/>
          <w:sz w:val="20"/>
        </w:rPr>
        <w:t xml:space="preserve">  6. When sharing data with third-party vendors, verify they have signed an NDA and have adequate security controls in place.</w:t>
      </w:r>
    </w:p>
    <w:p>
      <w:r>
        <w:rPr>
          <w:rFonts w:ascii="Calibri" w:hAnsi="Calibri"/>
          <w:b/>
          <w:i w:val="0"/>
          <w:sz w:val="20"/>
        </w:rPr>
        <w:t>3.4 Disposal</w:t>
      </w:r>
    </w:p>
    <w:p>
      <w:r>
        <w:rPr>
          <w:rFonts w:ascii="Calibri" w:hAnsi="Calibri"/>
          <w:b w:val="0"/>
          <w:i w:val="0"/>
          <w:sz w:val="20"/>
        </w:rPr>
        <w:t xml:space="preserve">  1. Digital files: use secure deletion tools that overwrite data (not just 'move to trash'). For RESTRICTED data, follow NIST SP 800-88 Guidelines for Media Sanitization (or equivalent secure deletion standard).</w:t>
      </w:r>
    </w:p>
    <w:p>
      <w:r>
        <w:rPr>
          <w:rFonts w:ascii="Calibri" w:hAnsi="Calibri"/>
          <w:b w:val="0"/>
          <w:i w:val="0"/>
          <w:sz w:val="20"/>
        </w:rPr>
        <w:t xml:space="preserve">  2. Paper documents: cross-cut shred all CONFIDENTIAL and RESTRICTED documents. Standard recycling is NOT acceptable.</w:t>
      </w:r>
    </w:p>
    <w:p>
      <w:r>
        <w:rPr>
          <w:rFonts w:ascii="Calibri" w:hAnsi="Calibri"/>
          <w:b w:val="0"/>
          <w:i w:val="0"/>
          <w:sz w:val="20"/>
        </w:rPr>
        <w:t xml:space="preserve">  3. Storage media (hard drives, USB drives, backup tapes): degauss or physically destroy before disposal.</w:t>
      </w:r>
    </w:p>
    <w:p>
      <w:r>
        <w:rPr>
          <w:rFonts w:ascii="Calibri" w:hAnsi="Calibri"/>
          <w:b w:val="0"/>
          <w:i w:val="0"/>
          <w:sz w:val="20"/>
        </w:rPr>
        <w:t xml:space="preserve">  4. Email: when a project ends, archive relevant emails per retention schedule. Delete working emails containing client data after archival.</w:t>
      </w:r>
    </w:p>
    <w:p>
      <w:r>
        <w:rPr>
          <w:rFonts w:ascii="Calibri" w:hAnsi="Calibri"/>
          <w:b w:val="0"/>
          <w:i w:val="0"/>
          <w:sz w:val="20"/>
        </w:rPr>
        <w:t xml:space="preserve">  5. Maintain a disposal log for RESTRICTED information: date, description, method, and name of person who performed the disposal.</w:t>
      </w:r>
    </w:p>
    <w:p>
      <w:r>
        <w:rPr>
          <w:rFonts w:ascii="Calibri" w:hAnsi="Calibri"/>
          <w:b/>
          <w:i w:val="0"/>
          <w:sz w:val="20"/>
        </w:rPr>
        <w:t>3.5 Breach Reporting</w:t>
      </w:r>
    </w:p>
    <w:p>
      <w:r>
        <w:rPr>
          <w:rFonts w:ascii="Calibri" w:hAnsi="Calibri"/>
          <w:b w:val="0"/>
          <w:i w:val="0"/>
          <w:sz w:val="20"/>
        </w:rPr>
        <w:t xml:space="preserve">  1. IF you suspect or discover a data breach (unauthorized access, lost device, misdirected email, hacking), report it IMMEDIATELY to your manager AND the Privacy Officer / IT Security.</w:t>
      </w:r>
    </w:p>
    <w:p>
      <w:r>
        <w:rPr>
          <w:rFonts w:ascii="Calibri" w:hAnsi="Calibri"/>
          <w:b w:val="0"/>
          <w:i w:val="0"/>
          <w:sz w:val="20"/>
        </w:rPr>
        <w:t xml:space="preserve">  2. Do NOT attempt to investigate or contain the breach yourself unless you are IT Security personnel.</w:t>
      </w:r>
    </w:p>
    <w:p>
      <w:r>
        <w:rPr>
          <w:rFonts w:ascii="Calibri" w:hAnsi="Calibri"/>
          <w:b w:val="0"/>
          <w:i w:val="0"/>
          <w:sz w:val="20"/>
        </w:rPr>
        <w:t xml:space="preserve">  3. The Privacy Officer will activate the Incident Response Plan within 1 hour of notification.</w:t>
      </w:r>
    </w:p>
    <w:p>
      <w:r>
        <w:rPr>
          <w:rFonts w:ascii="Calibri" w:hAnsi="Calibri"/>
          <w:b w:val="0"/>
          <w:i w:val="0"/>
          <w:sz w:val="20"/>
        </w:rPr>
        <w:t xml:space="preserve">  4. Document everything you know: what data was affected, when you discovered it, how it may have been accessed, and who else knows.</w:t>
      </w:r>
    </w:p>
    <w:p>
      <w:r>
        <w:rPr>
          <w:rFonts w:ascii="Calibri" w:hAnsi="Calibri"/>
          <w:b w:val="0"/>
          <w:i w:val="0"/>
          <w:sz w:val="20"/>
        </w:rPr>
        <w:t xml:space="preserve">  5. Do NOT notify the affected client or individuals until the Privacy Officer and Legal have assessed the situation and determined notification requirements.</w:t>
      </w:r>
    </w:p>
    <w:p>
      <w:r>
        <w:rPr>
          <w:rFonts w:ascii="Calibri" w:hAnsi="Calibri"/>
          <w:b w:val="0"/>
          <w:i w:val="0"/>
          <w:sz w:val="20"/>
        </w:rPr>
        <w:t xml:space="preserve">  6. Under PIPEDA (Canada): mandatory breach notification to the Privacy Commissioner and affected individuals if the breach creates a 'real risk of significant harm.'</w:t>
      </w:r>
    </w:p>
    <w:p>
      <w:r>
        <w:rPr>
          <w:rFonts w:ascii="Calibri" w:hAnsi="Calibri"/>
          <w:b w:val="0"/>
          <w:i w:val="0"/>
          <w:sz w:val="20"/>
        </w:rPr>
        <w:t xml:space="preserve">  7. Under GDPR (EU/UK): mandatory notification to the supervisory authority within 72 hours if the breach is likely to result in a risk to individuals' rights.</w:t>
      </w:r>
    </w:p>
    <w:p>
      <w:r>
        <w:rPr>
          <w:rFonts w:ascii="Calibri" w:hAnsi="Calibri"/>
          <w:b w:val="0"/>
          <w:i w:val="0"/>
          <w:sz w:val="20"/>
        </w:rPr>
        <w:t xml:space="preserve">  8. All breaches, regardless of severity, are logged in the Breach Register and reviewed during the quarterly security review.</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pPr>
        <w:jc w:val="center"/>
      </w:pPr>
      <w:r>
        <w:rPr>
          <w:i/>
          <w:color w:val="999999"/>
          <w:sz w:val="16"/>
        </w:rPr>
        <w:br/>
        <w:t>This document is controlled. Printed copies are for reference only.</w:t>
        <w:br/>
        <w:t>Built with Pure Work 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