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A5C"/>
          <w:sz w:val="44"/>
        </w:rPr>
        <w:t>[NOMBRE DE LA EMPRESA]</w:t>
      </w:r>
    </w:p>
    <w:p>
      <w:pPr>
        <w:jc w:val="center"/>
      </w:pPr>
      <w:r>
        <w:rPr>
          <w:rFonts w:ascii="Calibri" w:hAnsi="Calibri"/>
          <w:i/>
          <w:color w:val="666666"/>
          <w:sz w:val="22"/>
        </w:rPr>
        <w:t>Idioma: Español | Referencia: OSHA / Marcos universales</w:t>
      </w:r>
    </w:p>
    <w:p>
      <w:pPr>
        <w:pStyle w:val="Heading1"/>
      </w:pPr>
      <w:r>
        <w:t>Política de Salud y Seguridad en el Trabajo</w:t>
      </w:r>
    </w:p>
    <w:p/>
    <w:tbl>
      <w:tblPr>
        <w:tblW w:type="auto" w:w="0"/>
        <w:tblLook w:firstColumn="1" w:firstRow="1" w:lastColumn="0" w:lastRow="0" w:noHBand="0" w:noVBand="1" w:val="04A0"/>
      </w:tblPr>
      <w:tblGrid>
        <w:gridCol w:w="4320"/>
        <w:gridCol w:w="4320"/>
      </w:tblGrid>
      <w:tr>
        <w:tc>
          <w:tcPr>
            <w:tcW w:type="dxa" w:w="4320"/>
          </w:tcPr>
          <w:p>
            <w:r/>
            <w:r>
              <w:rPr>
                <w:rFonts w:ascii="Calibri" w:hAnsi="Calibri"/>
                <w:sz w:val="20"/>
              </w:rPr>
              <w:t>Número de Política:</w:t>
            </w:r>
          </w:p>
        </w:tc>
        <w:tc>
          <w:tcPr>
            <w:tcW w:type="dxa" w:w="4320"/>
          </w:tcPr>
          <w:p>
            <w:r/>
            <w:r>
              <w:rPr>
                <w:rFonts w:ascii="Calibri" w:hAnsi="Calibri"/>
                <w:sz w:val="20"/>
              </w:rPr>
              <w:t>[POL-ES-002]</w:t>
            </w:r>
          </w:p>
        </w:tc>
      </w:tr>
      <w:tr>
        <w:tc>
          <w:tcPr>
            <w:tcW w:type="dxa" w:w="4320"/>
          </w:tcPr>
          <w:p>
            <w:r/>
            <w:r>
              <w:rPr>
                <w:rFonts w:ascii="Calibri" w:hAnsi="Calibri"/>
                <w:sz w:val="20"/>
              </w:rPr>
              <w:t>Versión:</w:t>
            </w:r>
          </w:p>
        </w:tc>
        <w:tc>
          <w:tcPr>
            <w:tcW w:type="dxa" w:w="4320"/>
          </w:tcPr>
          <w:p>
            <w:r/>
            <w:r>
              <w:rPr>
                <w:rFonts w:ascii="Calibri" w:hAnsi="Calibri"/>
                <w:sz w:val="20"/>
              </w:rPr>
              <w:t>1.0</w:t>
            </w:r>
          </w:p>
        </w:tc>
      </w:tr>
      <w:tr>
        <w:tc>
          <w:tcPr>
            <w:tcW w:type="dxa" w:w="4320"/>
          </w:tcPr>
          <w:p>
            <w:r/>
            <w:r>
              <w:rPr>
                <w:rFonts w:ascii="Calibri" w:hAnsi="Calibri"/>
                <w:sz w:val="20"/>
              </w:rPr>
              <w:t>Fecha de Vigencia:</w:t>
            </w:r>
          </w:p>
        </w:tc>
        <w:tc>
          <w:tcPr>
            <w:tcW w:type="dxa" w:w="4320"/>
          </w:tcPr>
          <w:p>
            <w:r/>
            <w:r>
              <w:rPr>
                <w:rFonts w:ascii="Calibri" w:hAnsi="Calibri"/>
                <w:sz w:val="20"/>
              </w:rPr>
              <w:t>[FECHA DE VIGENCIA]</w:t>
            </w:r>
          </w:p>
        </w:tc>
      </w:tr>
      <w:tr>
        <w:tc>
          <w:tcPr>
            <w:tcW w:type="dxa" w:w="4320"/>
          </w:tcPr>
          <w:p>
            <w:r/>
            <w:r>
              <w:rPr>
                <w:rFonts w:ascii="Calibri" w:hAnsi="Calibri"/>
                <w:sz w:val="20"/>
              </w:rPr>
              <w:t>Fecha de Revisión:</w:t>
            </w:r>
          </w:p>
        </w:tc>
        <w:tc>
          <w:tcPr>
            <w:tcW w:type="dxa" w:w="4320"/>
          </w:tcPr>
          <w:p>
            <w:r/>
            <w:r>
              <w:rPr>
                <w:rFonts w:ascii="Calibri" w:hAnsi="Calibri"/>
                <w:sz w:val="20"/>
              </w:rPr>
              <w:t>[FECHA DE REVISIÓN]</w:t>
            </w:r>
          </w:p>
        </w:tc>
      </w:tr>
      <w:tr>
        <w:tc>
          <w:tcPr>
            <w:tcW w:type="dxa" w:w="4320"/>
          </w:tcPr>
          <w:p>
            <w:r/>
            <w:r>
              <w:rPr>
                <w:rFonts w:ascii="Calibri" w:hAnsi="Calibri"/>
                <w:sz w:val="20"/>
              </w:rPr>
              <w:t>Responsable:</w:t>
            </w:r>
          </w:p>
        </w:tc>
        <w:tc>
          <w:tcPr>
            <w:tcW w:type="dxa" w:w="4320"/>
          </w:tcPr>
          <w:p>
            <w:r/>
            <w:r>
              <w:rPr>
                <w:rFonts w:ascii="Calibri" w:hAnsi="Calibri"/>
                <w:sz w:val="20"/>
              </w:rPr>
              <w:t>Recursos Humanos</w:t>
            </w:r>
          </w:p>
        </w:tc>
      </w:tr>
    </w:tbl>
    <w:p>
      <w:pPr>
        <w:pStyle w:val="Heading2"/>
      </w:pPr>
      <w:r>
        <w:t>1. Propósito</w:t>
      </w:r>
    </w:p>
    <w:p>
      <w:r>
        <w:t>Esta política establece el compromiso de [NOMBRE DE LA EMPRESA] con la protección de la salud, la seguridad y el bienestar de todos los empleados, contratistas y visitantes en el lugar de trabajo. La empresa se compromete a cumplir con las normas de la Administración de Seguridad y Salud Ocupacional (OSHA), las leyes estatales y locales aplicables y las mejores prácticas internacionales de seguridad laboral.</w:t>
      </w:r>
    </w:p>
    <w:p>
      <w:pPr>
        <w:pStyle w:val="Heading2"/>
      </w:pPr>
      <w:r>
        <w:t>2. Alcance</w:t>
      </w:r>
    </w:p>
    <w:p>
      <w:r>
        <w:t>Esta política aplica a todos los empleados, contratistas, subcontratistas, trabajadores temporales y visitantes en todas las instalaciones y sitios de trabajo operados o controlados por [NOMBRE DE LA EMPRESA].</w:t>
      </w:r>
    </w:p>
    <w:p>
      <w:pPr>
        <w:pStyle w:val="Heading2"/>
      </w:pPr>
      <w:r>
        <w:t>3. Responsabilidades del Empleador</w:t>
      </w:r>
    </w:p>
    <w:p>
      <w:pPr>
        <w:pStyle w:val="ListBullet"/>
      </w:pPr>
      <w:r>
        <w:t>Proporcionar un lugar de trabajo libre de peligros reconocidos que causen o puedan causar muerte o daño físico grave;</w:t>
      </w:r>
    </w:p>
    <w:p>
      <w:pPr>
        <w:pStyle w:val="ListBullet"/>
      </w:pPr>
      <w:r>
        <w:t>Cumplir con todas las normas, regulaciones y órdenes emitidas por OSHA y las autoridades locales aplicables;</w:t>
      </w:r>
    </w:p>
    <w:p>
      <w:pPr>
        <w:pStyle w:val="ListBullet"/>
      </w:pPr>
      <w:r>
        <w:t>Establecer y mantener un programa de seguridad y salud ocupacional;</w:t>
      </w:r>
    </w:p>
    <w:p>
      <w:pPr>
        <w:pStyle w:val="ListBullet"/>
      </w:pPr>
      <w:r>
        <w:t>Proporcionar el equipo de protección personal (EPP) necesario sin costo para el empleado;</w:t>
      </w:r>
    </w:p>
    <w:p>
      <w:pPr>
        <w:pStyle w:val="ListBullet"/>
      </w:pPr>
      <w:r>
        <w:t>Capacitar a los empleados sobre los peligros presentes en el lugar de trabajo y los procedimientos de seguridad;</w:t>
      </w:r>
    </w:p>
    <w:p>
      <w:pPr>
        <w:pStyle w:val="ListBullet"/>
      </w:pPr>
      <w:r>
        <w:t>Investigar todos los incidentes y cuasi-accidentes para prevenir recurrencias;</w:t>
      </w:r>
    </w:p>
    <w:p>
      <w:pPr>
        <w:pStyle w:val="ListBullet"/>
      </w:pPr>
      <w:r>
        <w:t>Mantener registros de lesiones y enfermedades ocupacionales conforme a los requisitos de OSHA (Formularios 300, 300A, 301);</w:t>
      </w:r>
    </w:p>
    <w:p>
      <w:pPr>
        <w:pStyle w:val="ListBullet"/>
      </w:pPr>
      <w:r>
        <w:t>Publicar el cartel de OSHA “Es la Ley” en un lugar visible del centro de trabajo.</w:t>
      </w:r>
    </w:p>
    <w:p>
      <w:pPr>
        <w:pStyle w:val="Heading2"/>
      </w:pPr>
      <w:r>
        <w:t>4. Responsabilidades del Empleado</w:t>
      </w:r>
    </w:p>
    <w:p>
      <w:pPr>
        <w:pStyle w:val="ListBullet"/>
      </w:pPr>
      <w:r>
        <w:t>Cumplir con todas las normas, regulaciones y procedimientos de seguridad establecidos por la empresa;</w:t>
      </w:r>
    </w:p>
    <w:p>
      <w:pPr>
        <w:pStyle w:val="ListBullet"/>
      </w:pPr>
      <w:r>
        <w:t>Utilizar correctamente el equipo de protección personal proporcionado;</w:t>
      </w:r>
    </w:p>
    <w:p>
      <w:pPr>
        <w:pStyle w:val="ListBullet"/>
      </w:pPr>
      <w:r>
        <w:t>Reportar inmediatamente cualquier condición insegura, peligro, lesión o enfermedad laboral a su supervisor o al departamento de seguridad;</w:t>
      </w:r>
    </w:p>
    <w:p>
      <w:pPr>
        <w:pStyle w:val="ListBullet"/>
      </w:pPr>
      <w:r>
        <w:t>Participar en las capacitaciones de seguridad requeridas;</w:t>
      </w:r>
    </w:p>
    <w:p>
      <w:pPr>
        <w:pStyle w:val="ListBullet"/>
      </w:pPr>
      <w:r>
        <w:t>No operar equipos o maquinaria para los cuales no hayan sido capacitados y autorizados;</w:t>
      </w:r>
    </w:p>
    <w:p>
      <w:pPr>
        <w:pStyle w:val="ListBullet"/>
      </w:pPr>
      <w:r>
        <w:t>No desactivar ni manipular los dispositivos de seguridad de equipos o maquinaria;</w:t>
      </w:r>
    </w:p>
    <w:p>
      <w:pPr>
        <w:pStyle w:val="ListBullet"/>
      </w:pPr>
      <w:r>
        <w:t>Cooperar con las investigaciones de incidentes.</w:t>
      </w:r>
    </w:p>
    <w:p>
      <w:pPr>
        <w:pStyle w:val="Heading2"/>
      </w:pPr>
      <w:r>
        <w:t>5. Reporte de Peligros e Incidentes</w:t>
      </w:r>
    </w:p>
    <w:p>
      <w:r>
        <w:t>Todos los empleados tienen la obligación de reportar de inmediato:</w:t>
      </w:r>
    </w:p>
    <w:p>
      <w:pPr>
        <w:pStyle w:val="ListBullet"/>
      </w:pPr>
      <w:r>
        <w:t>Condiciones de trabajo inseguras (derrames, equipos dañados, iluminación inadecuada, etc.);</w:t>
      </w:r>
    </w:p>
    <w:p>
      <w:pPr>
        <w:pStyle w:val="ListBullet"/>
      </w:pPr>
      <w:r>
        <w:t>Actos inseguros observados;</w:t>
      </w:r>
    </w:p>
    <w:p>
      <w:pPr>
        <w:pStyle w:val="ListBullet"/>
      </w:pPr>
      <w:r>
        <w:t>Lesiones o enfermedades relacionadas con el trabajo, sin importar la gravedad;</w:t>
      </w:r>
    </w:p>
    <w:p>
      <w:pPr>
        <w:pStyle w:val="ListBullet"/>
      </w:pPr>
      <w:r>
        <w:t>Cuasi-accidentes (incidentes que pudieron haber resultado en lesión o daño).</w:t>
      </w:r>
    </w:p>
    <w:p>
      <w:r>
        <w:t>Los reportes deben realizarse al supervisor inmediato y/o al departamento de seguridad mediante el formulario de reporte de incidentes de la empresa. Ningún empleado será sancionado por reportar de buena fe una condición o acto inseguro.</w:t>
      </w:r>
    </w:p>
    <w:p>
      <w:pPr>
        <w:pStyle w:val="Heading2"/>
      </w:pPr>
      <w:r>
        <w:t>6. Investigación de Incidentes</w:t>
      </w:r>
    </w:p>
    <w:p>
      <w:r>
        <w:t>Todos los accidentes, lesiones y cuasi-accidentes serán investigados para determinar las causas raíz e implementar medidas correctivas. La investigación incluirá:</w:t>
      </w:r>
    </w:p>
    <w:p>
      <w:pPr>
        <w:pStyle w:val="ListBullet"/>
      </w:pPr>
      <w:r>
        <w:t>Aseguramiento inmediato del área del incidente;</w:t>
      </w:r>
    </w:p>
    <w:p>
      <w:pPr>
        <w:pStyle w:val="ListBullet"/>
      </w:pPr>
      <w:r>
        <w:t>Entrevistas con testigos y personas involucradas;</w:t>
      </w:r>
    </w:p>
    <w:p>
      <w:pPr>
        <w:pStyle w:val="ListBullet"/>
      </w:pPr>
      <w:r>
        <w:t>Documentación fotográfica y recolección de evidencia;</w:t>
      </w:r>
    </w:p>
    <w:p>
      <w:pPr>
        <w:pStyle w:val="ListBullet"/>
      </w:pPr>
      <w:r>
        <w:t>Análisis de causas raíz (utilizando metodologías como los 5 Porqués o el Diagrama de Ishikawa);</w:t>
      </w:r>
    </w:p>
    <w:p>
      <w:pPr>
        <w:pStyle w:val="ListBullet"/>
      </w:pPr>
      <w:r>
        <w:t>Plan de acciones correctivas y preventivas con responsables y fechas límite;</w:t>
      </w:r>
    </w:p>
    <w:p>
      <w:pPr>
        <w:pStyle w:val="ListBullet"/>
      </w:pPr>
      <w:r>
        <w:t>Seguimiento para verificar la efectividad de las medidas implementadas.</w:t>
      </w:r>
    </w:p>
    <w:p>
      <w:pPr>
        <w:pStyle w:val="Heading2"/>
      </w:pPr>
      <w:r>
        <w:t>7. Requisitos de Equipo de Protección Personal (EPP)</w:t>
      </w:r>
    </w:p>
    <w:p>
      <w:r>
        <w:t>[NOMBRE DE LA EMPRESA] proporcionará EPP apropiado basado en la evaluación de peligros del lugar de trabajo. Los empleados deben usar el EPP designado en todo momento cuando se encuentren en áreas donde sea requerido. El EPP incluye, pero no se limita a: cascos, gafas de seguridad, protectores auditivos, guantes, calzado de seguridad, arneses de seguridad y protección respiratoria.</w:t>
      </w:r>
    </w:p>
    <w:p>
      <w:pPr>
        <w:pStyle w:val="Heading2"/>
      </w:pPr>
      <w:r>
        <w:t>8. Tabla de Peligros Comunes y Controles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880"/>
            <w:shd w:fill="1A3A5C"/>
          </w:tcPr>
          <w:p>
            <w:r>
              <w:rPr>
                <w:rFonts w:ascii="Calibri" w:hAnsi="Calibri"/>
                <w:b/>
                <w:color w:val="FFFFFF"/>
                <w:sz w:val="20"/>
              </w:rPr>
              <w:t>Peligro</w:t>
            </w:r>
          </w:p>
        </w:tc>
        <w:tc>
          <w:tcPr>
            <w:tcW w:type="dxa" w:w="2880"/>
            <w:shd w:fill="1A3A5C"/>
          </w:tcPr>
          <w:p>
            <w:r>
              <w:rPr>
                <w:rFonts w:ascii="Calibri" w:hAnsi="Calibri"/>
                <w:b/>
                <w:color w:val="FFFFFF"/>
                <w:sz w:val="20"/>
              </w:rPr>
              <w:t>Ejemplos</w:t>
            </w:r>
          </w:p>
        </w:tc>
        <w:tc>
          <w:tcPr>
            <w:tcW w:type="dxa" w:w="2880"/>
            <w:shd w:fill="1A3A5C"/>
          </w:tcPr>
          <w:p>
            <w:r>
              <w:rPr>
                <w:rFonts w:ascii="Calibri" w:hAnsi="Calibri"/>
                <w:b/>
                <w:color w:val="FFFFFF"/>
                <w:sz w:val="20"/>
              </w:rPr>
              <w:t>Controles Recomendados</w:t>
            </w:r>
          </w:p>
        </w:tc>
      </w:tr>
      <w:tr>
        <w:tc>
          <w:tcPr>
            <w:tcW w:type="dxa" w:w="2880"/>
          </w:tcPr>
          <w:p>
            <w:r/>
            <w:r>
              <w:rPr>
                <w:rFonts w:ascii="Calibri" w:hAnsi="Calibri"/>
                <w:b/>
                <w:sz w:val="20"/>
              </w:rPr>
              <w:t>Caídas</w:t>
            </w:r>
          </w:p>
        </w:tc>
        <w:tc>
          <w:tcPr>
            <w:tcW w:type="dxa" w:w="2880"/>
          </w:tcPr>
          <w:p>
            <w:r/>
            <w:r>
              <w:rPr>
                <w:rFonts w:ascii="Calibri" w:hAnsi="Calibri"/>
                <w:sz w:val="20"/>
              </w:rPr>
              <w:t>Superficies resbaladizas, trabajo en alturas, escaleras defectuosas</w:t>
            </w:r>
          </w:p>
        </w:tc>
        <w:tc>
          <w:tcPr>
            <w:tcW w:type="dxa" w:w="2880"/>
          </w:tcPr>
          <w:p>
            <w:r/>
            <w:r>
              <w:rPr>
                <w:rFonts w:ascii="Calibri" w:hAnsi="Calibri"/>
                <w:sz w:val="20"/>
              </w:rPr>
              <w:t>Barandales, arnés, calzado antideslizante, señalización</w:t>
            </w:r>
          </w:p>
        </w:tc>
      </w:tr>
      <w:tr>
        <w:tc>
          <w:tcPr>
            <w:tcW w:type="dxa" w:w="2880"/>
          </w:tcPr>
          <w:p>
            <w:r/>
            <w:r>
              <w:rPr>
                <w:rFonts w:ascii="Calibri" w:hAnsi="Calibri"/>
                <w:b/>
                <w:sz w:val="20"/>
              </w:rPr>
              <w:t>Golpes por objetos</w:t>
            </w:r>
          </w:p>
        </w:tc>
        <w:tc>
          <w:tcPr>
            <w:tcW w:type="dxa" w:w="2880"/>
          </w:tcPr>
          <w:p>
            <w:r/>
            <w:r>
              <w:rPr>
                <w:rFonts w:ascii="Calibri" w:hAnsi="Calibri"/>
                <w:sz w:val="20"/>
              </w:rPr>
              <w:t>Herramientas que caen, materiales apilados, maquinaria móvil</w:t>
            </w:r>
          </w:p>
        </w:tc>
        <w:tc>
          <w:tcPr>
            <w:tcW w:type="dxa" w:w="2880"/>
          </w:tcPr>
          <w:p>
            <w:r/>
            <w:r>
              <w:rPr>
                <w:rFonts w:ascii="Calibri" w:hAnsi="Calibri"/>
                <w:sz w:val="20"/>
              </w:rPr>
              <w:t>Casco, zonas de exclusión, almacenamiento seguro</w:t>
            </w:r>
          </w:p>
        </w:tc>
      </w:tr>
      <w:tr>
        <w:tc>
          <w:tcPr>
            <w:tcW w:type="dxa" w:w="2880"/>
          </w:tcPr>
          <w:p>
            <w:r/>
            <w:r>
              <w:rPr>
                <w:rFonts w:ascii="Calibri" w:hAnsi="Calibri"/>
                <w:b/>
                <w:sz w:val="20"/>
              </w:rPr>
              <w:t>Riesgos eléctricos</w:t>
            </w:r>
          </w:p>
        </w:tc>
        <w:tc>
          <w:tcPr>
            <w:tcW w:type="dxa" w:w="2880"/>
          </w:tcPr>
          <w:p>
            <w:r/>
            <w:r>
              <w:rPr>
                <w:rFonts w:ascii="Calibri" w:hAnsi="Calibri"/>
                <w:sz w:val="20"/>
              </w:rPr>
              <w:t>Cableado expuesto, equipos defectuosos, contacto con líneas eléctricas</w:t>
            </w:r>
          </w:p>
        </w:tc>
        <w:tc>
          <w:tcPr>
            <w:tcW w:type="dxa" w:w="2880"/>
          </w:tcPr>
          <w:p>
            <w:r/>
            <w:r>
              <w:rPr>
                <w:rFonts w:ascii="Calibri" w:hAnsi="Calibri"/>
                <w:sz w:val="20"/>
              </w:rPr>
              <w:t>Bloqueo/etiquetado (LOTO), EPP dieléctrico, inspección periódica</w:t>
            </w:r>
          </w:p>
        </w:tc>
      </w:tr>
      <w:tr>
        <w:tc>
          <w:tcPr>
            <w:tcW w:type="dxa" w:w="2880"/>
          </w:tcPr>
          <w:p>
            <w:r/>
            <w:r>
              <w:rPr>
                <w:rFonts w:ascii="Calibri" w:hAnsi="Calibri"/>
                <w:b/>
                <w:sz w:val="20"/>
              </w:rPr>
              <w:t>Exposición química</w:t>
            </w:r>
          </w:p>
        </w:tc>
        <w:tc>
          <w:tcPr>
            <w:tcW w:type="dxa" w:w="2880"/>
          </w:tcPr>
          <w:p>
            <w:r/>
            <w:r>
              <w:rPr>
                <w:rFonts w:ascii="Calibri" w:hAnsi="Calibri"/>
                <w:sz w:val="20"/>
              </w:rPr>
              <w:t>Solventes, ácidos, gases, polvos</w:t>
            </w:r>
          </w:p>
        </w:tc>
        <w:tc>
          <w:tcPr>
            <w:tcW w:type="dxa" w:w="2880"/>
          </w:tcPr>
          <w:p>
            <w:r/>
            <w:r>
              <w:rPr>
                <w:rFonts w:ascii="Calibri" w:hAnsi="Calibri"/>
                <w:sz w:val="20"/>
              </w:rPr>
              <w:t>Ventilación, EPP, Hojas de Datos de Seguridad (SDS), capacitación</w:t>
            </w:r>
          </w:p>
        </w:tc>
      </w:tr>
      <w:tr>
        <w:tc>
          <w:tcPr>
            <w:tcW w:type="dxa" w:w="2880"/>
          </w:tcPr>
          <w:p>
            <w:r/>
            <w:r>
              <w:rPr>
                <w:rFonts w:ascii="Calibri" w:hAnsi="Calibri"/>
                <w:b/>
                <w:sz w:val="20"/>
              </w:rPr>
              <w:t>Ruido excesivo</w:t>
            </w:r>
          </w:p>
        </w:tc>
        <w:tc>
          <w:tcPr>
            <w:tcW w:type="dxa" w:w="2880"/>
          </w:tcPr>
          <w:p>
            <w:r/>
            <w:r>
              <w:rPr>
                <w:rFonts w:ascii="Calibri" w:hAnsi="Calibri"/>
                <w:sz w:val="20"/>
              </w:rPr>
              <w:t>Maquinaria industrial, herramientas neumáticas</w:t>
            </w:r>
          </w:p>
        </w:tc>
        <w:tc>
          <w:tcPr>
            <w:tcW w:type="dxa" w:w="2880"/>
          </w:tcPr>
          <w:p>
            <w:r/>
            <w:r>
              <w:rPr>
                <w:rFonts w:ascii="Calibri" w:hAnsi="Calibri"/>
                <w:sz w:val="20"/>
              </w:rPr>
              <w:t>Protección auditiva, controles de ingeniería, rotación de puestos</w:t>
            </w:r>
          </w:p>
        </w:tc>
      </w:tr>
      <w:tr>
        <w:tc>
          <w:tcPr>
            <w:tcW w:type="dxa" w:w="2880"/>
          </w:tcPr>
          <w:p>
            <w:r/>
            <w:r>
              <w:rPr>
                <w:rFonts w:ascii="Calibri" w:hAnsi="Calibri"/>
                <w:b/>
                <w:sz w:val="20"/>
              </w:rPr>
              <w:t>Riesgos ergonómicos</w:t>
            </w:r>
          </w:p>
        </w:tc>
        <w:tc>
          <w:tcPr>
            <w:tcW w:type="dxa" w:w="2880"/>
          </w:tcPr>
          <w:p>
            <w:r/>
            <w:r>
              <w:rPr>
                <w:rFonts w:ascii="Calibri" w:hAnsi="Calibri"/>
                <w:sz w:val="20"/>
              </w:rPr>
              <w:t>Levantamiento repetitivo, posturas forzadas, uso prolongado de pantalla</w:t>
            </w:r>
          </w:p>
        </w:tc>
        <w:tc>
          <w:tcPr>
            <w:tcW w:type="dxa" w:w="2880"/>
          </w:tcPr>
          <w:p>
            <w:r/>
            <w:r>
              <w:rPr>
                <w:rFonts w:ascii="Calibri" w:hAnsi="Calibri"/>
                <w:sz w:val="20"/>
              </w:rPr>
              <w:t>Capacitación ergonómica, ajuste de estaciones, pausas activas</w:t>
            </w:r>
          </w:p>
        </w:tc>
      </w:tr>
      <w:tr>
        <w:tc>
          <w:tcPr>
            <w:tcW w:type="dxa" w:w="2880"/>
          </w:tcPr>
          <w:p>
            <w:r/>
            <w:r>
              <w:rPr>
                <w:rFonts w:ascii="Calibri" w:hAnsi="Calibri"/>
                <w:b/>
                <w:sz w:val="20"/>
              </w:rPr>
              <w:t>Temperaturas extremas</w:t>
            </w:r>
          </w:p>
        </w:tc>
        <w:tc>
          <w:tcPr>
            <w:tcW w:type="dxa" w:w="2880"/>
          </w:tcPr>
          <w:p>
            <w:r/>
            <w:r>
              <w:rPr>
                <w:rFonts w:ascii="Calibri" w:hAnsi="Calibri"/>
                <w:sz w:val="20"/>
              </w:rPr>
              <w:t>Trabajo al aire libre, cámaras frías, ambientes calurosos</w:t>
            </w:r>
          </w:p>
        </w:tc>
        <w:tc>
          <w:tcPr>
            <w:tcW w:type="dxa" w:w="2880"/>
          </w:tcPr>
          <w:p>
            <w:r/>
            <w:r>
              <w:rPr>
                <w:rFonts w:ascii="Calibri" w:hAnsi="Calibri"/>
                <w:sz w:val="20"/>
              </w:rPr>
              <w:t>Hidratación, descansos, ropa protectora, monitoreo de síntomas</w:t>
            </w:r>
          </w:p>
        </w:tc>
      </w:tr>
      <w:tr>
        <w:tc>
          <w:tcPr>
            <w:tcW w:type="dxa" w:w="2880"/>
          </w:tcPr>
          <w:p>
            <w:r/>
            <w:r>
              <w:rPr>
                <w:rFonts w:ascii="Calibri" w:hAnsi="Calibri"/>
                <w:b/>
                <w:sz w:val="20"/>
              </w:rPr>
              <w:t>Riesgos biológicos</w:t>
            </w:r>
          </w:p>
        </w:tc>
        <w:tc>
          <w:tcPr>
            <w:tcW w:type="dxa" w:w="2880"/>
          </w:tcPr>
          <w:p>
            <w:r/>
            <w:r>
              <w:rPr>
                <w:rFonts w:ascii="Calibri" w:hAnsi="Calibri"/>
                <w:sz w:val="20"/>
              </w:rPr>
              <w:t>Sangre, moho, bacterias, virus</w:t>
            </w:r>
          </w:p>
        </w:tc>
        <w:tc>
          <w:tcPr>
            <w:tcW w:type="dxa" w:w="2880"/>
          </w:tcPr>
          <w:p>
            <w:r/>
            <w:r>
              <w:rPr>
                <w:rFonts w:ascii="Calibri" w:hAnsi="Calibri"/>
                <w:sz w:val="20"/>
              </w:rPr>
              <w:t>EPP, protocolo de higiene, vacunación, eliminación segura de residuos</w:t>
            </w:r>
          </w:p>
        </w:tc>
      </w:tr>
    </w:tbl>
    <w:p/>
    <w:p>
      <w:pPr>
        <w:pStyle w:val="Heading2"/>
      </w:pPr>
      <w:r>
        <w:t>9. Procedimientos de Emergencia</w:t>
      </w:r>
    </w:p>
    <w:p>
      <w:r>
        <w:t>Todos los empleados deben familiarizarse con los procedimientos de emergencia de su lugar de trabajo, incluyendo:</w:t>
      </w:r>
    </w:p>
    <w:p>
      <w:pPr>
        <w:pStyle w:val="ListBullet"/>
      </w:pPr>
      <w:r>
        <w:t>Ubicación de salidas de emergencia y puntos de reunión;</w:t>
      </w:r>
    </w:p>
    <w:p>
      <w:pPr>
        <w:pStyle w:val="ListBullet"/>
      </w:pPr>
      <w:r>
        <w:t>Procedimiento de evacuación y rutas de escape;</w:t>
      </w:r>
    </w:p>
    <w:p>
      <w:pPr>
        <w:pStyle w:val="ListBullet"/>
      </w:pPr>
      <w:r>
        <w:t>Ubicación y uso de extintores de incendios;</w:t>
      </w:r>
    </w:p>
    <w:p>
      <w:pPr>
        <w:pStyle w:val="ListBullet"/>
      </w:pPr>
      <w:r>
        <w:t>Ubicación de botiquines de primeros auxilios y equipos de emergencia;</w:t>
      </w:r>
    </w:p>
    <w:p>
      <w:pPr>
        <w:pStyle w:val="ListBullet"/>
      </w:pPr>
      <w:r>
        <w:t>Números de emergencia (911, brigada de emergencia interna, número de la planta);</w:t>
      </w:r>
    </w:p>
    <w:p>
      <w:pPr>
        <w:pStyle w:val="ListBullet"/>
      </w:pPr>
      <w:r>
        <w:t>Procedimiento para reportar emergencias.</w:t>
      </w:r>
    </w:p>
    <w:p>
      <w:r>
        <w:t>Se realizarán simulacros de evacuación al menos dos veces al año. Todos los empleados deben participar en los simulacros.</w:t>
      </w:r>
    </w:p>
    <w:p>
      <w:pPr>
        <w:pStyle w:val="Heading2"/>
      </w:pPr>
      <w:r>
        <w:t>10. Primeros Auxilios</w:t>
      </w:r>
    </w:p>
    <w:p>
      <w:r>
        <w:t>[NOMBRE DE LA EMPRESA] mantendrá botiquines de primeros auxilios en ubicaciones accesibles y debidamente señalizadas. Se designarán empleados capacitados en primeros auxilios y RCP en cada turno de trabajo. La lista de socorristas y la ubicación de los botiquines se publicarán en los tableros de seguridad.</w:t>
      </w:r>
    </w:p>
    <w:p>
      <w:pPr>
        <w:pStyle w:val="Heading2"/>
      </w:pPr>
      <w:r>
        <w:t>11. Derecho a Rechazar Trabajo Inseguro</w:t>
      </w:r>
    </w:p>
    <w:p>
      <w:r>
        <w:t>Todo empleado tiene el derecho de rechazar una tarea que considere razonablemente que representa un peligro inminente para su vida o salud, o la de sus compañeros de trabajo. El empleado debe notificar de inmediato a su supervisor sobre la situación. Ningún empleado será sancionado por ejercer de buena fe este derecho. El supervisor investigará la situación antes de requerir la reanudación de la tarea.</w:t>
      </w:r>
    </w:p>
    <w:p>
      <w:pPr>
        <w:pStyle w:val="Heading2"/>
      </w:pPr>
      <w:r>
        <w:t>Acuse de Recibo del Empleado</w:t>
      </w:r>
    </w:p>
    <w:p>
      <w:r>
        <w:t>Yo, ________________________ (nombre en letra de molde), reconozco que he recibido, leído y comprendido esta política. Acepto cumplir con sus términos y condiciones como requisito de mi empleo con [NOMBRE DE LA EMPRESA].</w:t>
      </w:r>
    </w:p>
    <w:p/>
    <w:tbl>
      <w:tblPr>
        <w:tblW w:type="auto" w:w="0"/>
        <w:tblLook w:firstColumn="1" w:firstRow="1" w:lastColumn="0" w:lastRow="0" w:noHBand="0" w:noVBand="1" w:val="04A0"/>
      </w:tblPr>
      <w:tblGrid>
        <w:gridCol w:w="4320"/>
        <w:gridCol w:w="4320"/>
      </w:tblGrid>
      <w:tr>
        <w:tc>
          <w:tcPr>
            <w:tcW w:type="dxa" w:w="4320"/>
          </w:tcPr>
          <w:p>
            <w:r>
              <w:t>Firma del Empleado: ________________________</w:t>
            </w:r>
          </w:p>
        </w:tc>
        <w:tc>
          <w:tcPr>
            <w:tcW w:type="dxa" w:w="4320"/>
          </w:tcPr>
          <w:p>
            <w:r>
              <w:t>Fecha: ________________________</w:t>
            </w:r>
          </w:p>
        </w:tc>
      </w:tr>
      <w:tr>
        <w:tc>
          <w:tcPr>
            <w:tcW w:type="dxa" w:w="4320"/>
          </w:tcPr>
          <w:p>
            <w:r>
              <w:t>Nombre del Empleado: ________________________</w:t>
            </w:r>
          </w:p>
        </w:tc>
        <w:tc>
          <w:tcPr>
            <w:tcW w:type="dxa" w:w="4320"/>
          </w:tcPr>
          <w:p>
            <w:r>
              <w:t>Número de Empleado: ________________________</w:t>
            </w:r>
          </w:p>
        </w:tc>
      </w:tr>
      <w:tr>
        <w:tc>
          <w:tcPr>
            <w:tcW w:type="dxa" w:w="4320"/>
          </w:tcPr>
          <w:p>
            <w:r>
              <w:t>Departamento: ________________________</w:t>
            </w:r>
          </w:p>
        </w:tc>
        <w:tc>
          <w:tcPr>
            <w:tcW w:type="dxa" w:w="4320"/>
          </w:tcPr>
          <w:p>
            <w:r>
              <w:t>Puesto: ________________________</w:t>
            </w:r>
          </w:p>
        </w:tc>
      </w:tr>
    </w:tbl>
    <w:p>
      <w:pPr>
        <w:pStyle w:val="Heading2"/>
      </w:pPr>
      <w:r>
        <w:t>Aprobación</w:t>
      </w:r>
    </w:p>
    <w:tbl>
      <w:tblPr>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Cargo</w:t>
            </w:r>
          </w:p>
        </w:tc>
        <w:tc>
          <w:tcPr>
            <w:tcW w:type="dxa" w:w="2880"/>
          </w:tcPr>
          <w:p>
            <w:r/>
            <w:r>
              <w:rPr>
                <w:rFonts w:ascii="Calibri" w:hAnsi="Calibri"/>
                <w:b/>
                <w:sz w:val="20"/>
              </w:rPr>
              <w:t>Nombre</w:t>
            </w:r>
          </w:p>
        </w:tc>
        <w:tc>
          <w:tcPr>
            <w:tcW w:type="dxa" w:w="2880"/>
          </w:tcPr>
          <w:p>
            <w:r/>
            <w:r>
              <w:rPr>
                <w:rFonts w:ascii="Calibri" w:hAnsi="Calibri"/>
                <w:b/>
                <w:sz w:val="20"/>
              </w:rPr>
              <w:t>Firma / Fecha</w:t>
            </w:r>
          </w:p>
        </w:tc>
      </w:tr>
      <w:tr>
        <w:tc>
          <w:tcPr>
            <w:tcW w:type="dxa" w:w="2880"/>
          </w:tcPr>
          <w:p>
            <w:r>
              <w:t>Presidente / Director General</w:t>
            </w:r>
          </w:p>
        </w:tc>
        <w:tc>
          <w:tcPr>
            <w:tcW w:type="dxa" w:w="2880"/>
          </w:tcPr>
          <w:p>
            <w:r>
              <w:t>________________________</w:t>
            </w:r>
          </w:p>
        </w:tc>
        <w:tc>
          <w:tcPr>
            <w:tcW w:type="dxa" w:w="2880"/>
          </w:tcPr>
          <w:p>
            <w:r>
              <w:t>________________________</w:t>
            </w:r>
          </w:p>
        </w:tc>
      </w:tr>
      <w:tr>
        <w:tc>
          <w:tcPr>
            <w:tcW w:type="dxa" w:w="2880"/>
          </w:tcPr>
          <w:p>
            <w:r>
              <w:t>VP, Recursos Humanos</w:t>
            </w:r>
          </w:p>
        </w:tc>
        <w:tc>
          <w:tcPr>
            <w:tcW w:type="dxa" w:w="2880"/>
          </w:tcPr>
          <w:p>
            <w:r>
              <w:t>________________________</w:t>
            </w:r>
          </w:p>
        </w:tc>
        <w:tc>
          <w:tcPr>
            <w:tcW w:type="dxa" w:w="2880"/>
          </w:tcPr>
          <w:p>
            <w:r>
              <w:t>________________________</w:t>
            </w:r>
          </w:p>
        </w:tc>
      </w:tr>
      <w:tr>
        <w:tc>
          <w:tcPr>
            <w:tcW w:type="dxa" w:w="2880"/>
          </w:tcPr>
          <w:p>
            <w:r>
              <w:t>Asesor Legal</w:t>
            </w:r>
          </w:p>
        </w:tc>
        <w:tc>
          <w:tcPr>
            <w:tcW w:type="dxa" w:w="2880"/>
          </w:tcPr>
          <w:p>
            <w:r>
              <w:t>________________________</w:t>
            </w:r>
          </w:p>
        </w:tc>
        <w:tc>
          <w:tcPr>
            <w:tcW w:type="dxa" w:w="2880"/>
          </w:tcPr>
          <w:p>
            <w:r>
              <w:t>________________________</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i/>
        <w:color w:val="999999"/>
        <w:sz w:val="16"/>
      </w:rPr>
      <w:t>Preparado por Pure Work AI | Confidencial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