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44"/>
        </w:rPr>
        <w:t>[NOMBRE DE LA EMPRESA]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Idioma: Español | Referencia: OSHA 29 CFR 1910.147</w:t>
      </w:r>
    </w:p>
    <w:p>
      <w:pPr>
        <w:pStyle w:val="Heading1"/>
      </w:pPr>
      <w:r>
        <w:t>Procedimiento de Bloqueo y Etiquetado (LOTO)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Número de Política: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[SOP-ES-001]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Vigencia: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VIGENCIA]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Revisión: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REVISIÓN]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Responsable: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Recursos Humanos</w:t>
            </w:r>
          </w:p>
        </w:tc>
      </w:tr>
    </w:tbl>
    <w:p>
      <w:pPr>
        <w:pStyle w:val="Heading2"/>
      </w:pPr>
      <w:r>
        <w:t>1. Propósito</w:t>
      </w:r>
    </w:p>
    <w:p>
      <w:r>
        <w:t>Este Procedimiento Operativo Estándar (SOP) establece los requisitos mínimos para el control de energía peligrosa (bloqueo/etiquetado o LOTO) durante el servicio y mantenimiento de máquinas y equipos en los que la activación inesperada o la liberación de energía almacenada podría causar lesiones a los trabajadores. Este procedimiento cumple con la norma OSHA 29 CFR 1910.147 — Control de Energía Peligrosa.</w:t>
      </w:r>
    </w:p>
    <w:p>
      <w:pPr>
        <w:pStyle w:val="Heading2"/>
      </w:pPr>
      <w:r>
        <w:t>2. Alcance</w:t>
      </w:r>
    </w:p>
    <w:p>
      <w:r>
        <w:t>Este procedimiento aplica a todos los empleados, contratistas y proveedores de servicios de [NOMBRE DE LA EMPRESA] que realicen actividades de servicio, mantenimiento, reparación, instalación, ajuste, inspección o limpieza de máquinas y equipos en los que exista el riesgo de activación inesperada o liberación de energía almacenada.</w:t>
      </w:r>
    </w:p>
    <w:p>
      <w:pPr>
        <w:pStyle w:val="Heading2"/>
      </w:pPr>
      <w:r>
        <w:t>3. Definiciones</w:t>
      </w:r>
    </w:p>
    <w:p>
      <w:pPr>
        <w:pStyle w:val="ListBullet"/>
      </w:pPr>
      <w:r>
        <w:rPr>
          <w:b/>
        </w:rPr>
        <w:t xml:space="preserve">Candado (Lockout): </w:t>
      </w:r>
      <w:r>
        <w:t>Dispositivo de cierre utilizado para mantener un interruptor de aislamiento de energía en posición segura, impidiendo la activación del equipo.</w:t>
      </w:r>
    </w:p>
    <w:p>
      <w:pPr>
        <w:pStyle w:val="ListBullet"/>
      </w:pPr>
      <w:r>
        <w:rPr>
          <w:b/>
        </w:rPr>
        <w:t xml:space="preserve">Etiqueta (Tagout): </w:t>
      </w:r>
      <w:r>
        <w:t>Dispositivo de advertencia que se coloca en el punto de aislamiento de energía, indicando que el equipo no debe operarse.</w:t>
      </w:r>
    </w:p>
    <w:p>
      <w:pPr>
        <w:pStyle w:val="ListBullet"/>
      </w:pPr>
      <w:r>
        <w:rPr>
          <w:b/>
        </w:rPr>
        <w:t xml:space="preserve">Empleado Autorizado: </w:t>
      </w:r>
      <w:r>
        <w:t>Persona capacitada y autorizada que aplica dispositivos de bloqueo o etiquetado a los dispositivos de aislamiento de energía.</w:t>
      </w:r>
    </w:p>
    <w:p>
      <w:pPr>
        <w:pStyle w:val="ListBullet"/>
      </w:pPr>
      <w:r>
        <w:rPr>
          <w:b/>
        </w:rPr>
        <w:t xml:space="preserve">Empleado Afectado: </w:t>
      </w:r>
      <w:r>
        <w:t>Persona cuyo trabajo requiere operar o utilizar una máquina o equipo en el que se realiza servicio bajo bloqueo/etiquetado.</w:t>
      </w:r>
    </w:p>
    <w:p>
      <w:pPr>
        <w:pStyle w:val="ListBullet"/>
      </w:pPr>
      <w:r>
        <w:rPr>
          <w:b/>
        </w:rPr>
        <w:t xml:space="preserve">Energía Peligrosa: </w:t>
      </w:r>
      <w:r>
        <w:t>Cualquier forma de energía incluyendo: eléctrica, mecánica, hidráulica, neumática, química, térmica, gravitacional u otras formas de energía.</w:t>
      </w:r>
    </w:p>
    <w:p>
      <w:pPr>
        <w:pStyle w:val="Heading2"/>
      </w:pPr>
      <w:r>
        <w:t>4. Responsabilidades</w:t>
      </w:r>
    </w:p>
    <w:p>
      <w:pPr>
        <w:pStyle w:val="Heading3"/>
      </w:pPr>
      <w:r>
        <w:t>4.1 Gerencia / Supervisión</w:t>
      </w:r>
    </w:p>
    <w:p>
      <w:pPr>
        <w:pStyle w:val="ListBullet"/>
      </w:pPr>
      <w:r>
        <w:t>Asegurar que todos los empleados afectados y autorizados reciban capacitación inicial y de actualización anual;</w:t>
      </w:r>
    </w:p>
    <w:p>
      <w:pPr>
        <w:pStyle w:val="ListBullet"/>
      </w:pPr>
      <w:r>
        <w:t>Proporcionar candados, etiquetas y dispositivos de bloqueo adecuados;</w:t>
      </w:r>
    </w:p>
    <w:p>
      <w:pPr>
        <w:pStyle w:val="ListBullet"/>
      </w:pPr>
      <w:r>
        <w:t>Realizar inspecciones periódicas anuales del procedimiento LOTO;</w:t>
      </w:r>
    </w:p>
    <w:p>
      <w:pPr>
        <w:pStyle w:val="ListBullet"/>
      </w:pPr>
      <w:r>
        <w:t>Hacer cumplir este procedimiento y tomar acciones disciplinarias por incumplimiento.</w:t>
      </w:r>
    </w:p>
    <w:p>
      <w:pPr>
        <w:pStyle w:val="Heading3"/>
      </w:pPr>
      <w:r>
        <w:t>4.2 Empleados Autorizados</w:t>
      </w:r>
    </w:p>
    <w:p>
      <w:pPr>
        <w:pStyle w:val="ListBullet"/>
      </w:pPr>
      <w:r>
        <w:t>Seguir cada paso de este procedimiento al realizar bloqueo/etiquetado;</w:t>
      </w:r>
    </w:p>
    <w:p>
      <w:pPr>
        <w:pStyle w:val="ListBullet"/>
      </w:pPr>
      <w:r>
        <w:t>Utilizar únicamente sus propios candados y etiquetas personales asignados;</w:t>
      </w:r>
    </w:p>
    <w:p>
      <w:pPr>
        <w:pStyle w:val="ListBullet"/>
      </w:pPr>
      <w:r>
        <w:t>No retirar el candado o etiqueta de otro trabajador.</w:t>
      </w:r>
    </w:p>
    <w:p>
      <w:pPr>
        <w:pStyle w:val="Heading3"/>
      </w:pPr>
      <w:r>
        <w:t>4.3 Empleados Afectados</w:t>
      </w:r>
    </w:p>
    <w:p>
      <w:pPr>
        <w:pStyle w:val="ListBullet"/>
      </w:pPr>
      <w:r>
        <w:t>No intentar arrancar, operar o utilizar equipos que estén bloqueados/etiquetados;</w:t>
      </w:r>
    </w:p>
    <w:p>
      <w:pPr>
        <w:pStyle w:val="ListBullet"/>
      </w:pPr>
      <w:r>
        <w:t>Notificar al supervisor si observan un equipo bloqueado sin supervisión.</w:t>
      </w:r>
    </w:p>
    <w:p>
      <w:pPr>
        <w:pStyle w:val="Heading2"/>
      </w:pPr>
      <w:r>
        <w:t>5. Procedimiento Paso a Paso</w:t>
      </w:r>
    </w:p>
    <w:p>
      <w:pPr>
        <w:pStyle w:val="Heading3"/>
      </w:pPr>
      <w:r>
        <w:t>5.1 Notificación</w:t>
      </w:r>
    </w:p>
    <w:p>
      <w:r>
        <w:t>Antes de iniciar el procedimiento de bloqueo/etiquetado, el empleado autorizado debe notificar a todos los empleados afectados y operadores del equipo que se va a realizar un servicio y que el equipo será bloqueado.</w:t>
      </w:r>
    </w:p>
    <w:p>
      <w:pPr>
        <w:pStyle w:val="Heading3"/>
      </w:pPr>
      <w:r>
        <w:t>5.2 Identificación de Fuentes de Energía</w:t>
      </w:r>
    </w:p>
    <w:p>
      <w:r>
        <w:t>Identifique todas las fuentes de energía asociadas con el equipo utilizando la documentación del equipo, las hojas de procedimiento específico de la máquina y la inspección visual.</w:t>
      </w:r>
    </w:p>
    <w:p>
      <w:pPr>
        <w:pStyle w:val="Heading3"/>
      </w:pPr>
      <w:r>
        <w:t>5.3 Apagado del Equipo</w:t>
      </w:r>
    </w:p>
    <w:p>
      <w:r>
        <w:t>Apague el equipo utilizando el procedimiento normal de parada. Asegúrese de que todas las partes móviles se hayan detenido completamente antes de proceder.</w:t>
      </w:r>
    </w:p>
    <w:p>
      <w:pPr>
        <w:pStyle w:val="Heading3"/>
      </w:pPr>
      <w:r>
        <w:t>5.4 Aislamiento de Fuentes de Energía</w:t>
      </w:r>
    </w:p>
    <w:p>
      <w:r>
        <w:t>Opere los dispositivos de aislamiento de energía (interruptores, válvulas, desconectores) para aislar completamente el equipo de todas las fuentes de energía.</w:t>
      </w:r>
    </w:p>
    <w:p>
      <w:pPr>
        <w:pStyle w:val="Heading3"/>
      </w:pPr>
      <w:r>
        <w:t>5.5 Aplicación de Dispositivos de Bloqueo/Etiquetado</w:t>
      </w:r>
    </w:p>
    <w:p>
      <w:r>
        <w:t>Coloque su candado personal y etiqueta en cada dispositivo de aislamiento de energía. La etiqueta debe indicar: nombre del empleado autorizado, fecha, razón del bloqueo y fecha estimada de finalización. Si múltiples empleados trabajan en el mismo equipo, cada uno debe colocar su propio candado.</w:t>
      </w:r>
    </w:p>
    <w:p>
      <w:pPr>
        <w:pStyle w:val="Heading3"/>
      </w:pPr>
      <w:r>
        <w:t>5.6 Liberación de Energía Almacenada</w:t>
      </w:r>
    </w:p>
    <w:p>
      <w:r>
        <w:t>Después del aislamiento, libere o controle toda la energía almacenada o residual:</w:t>
      </w:r>
    </w:p>
    <w:p>
      <w:pPr>
        <w:pStyle w:val="ListBullet"/>
      </w:pPr>
      <w:r>
        <w:t>Descargue capacitores;</w:t>
      </w:r>
    </w:p>
    <w:p>
      <w:pPr>
        <w:pStyle w:val="ListBullet"/>
      </w:pPr>
      <w:r>
        <w:t>Libere la presión hidráulica y neumática;</w:t>
      </w:r>
    </w:p>
    <w:p>
      <w:pPr>
        <w:pStyle w:val="ListBullet"/>
      </w:pPr>
      <w:r>
        <w:t>Bloquee o asegure piezas que puedan moverse por gravedad;</w:t>
      </w:r>
    </w:p>
    <w:p>
      <w:pPr>
        <w:pStyle w:val="ListBullet"/>
      </w:pPr>
      <w:r>
        <w:t>Permita que las superficies calientes se enfríen;</w:t>
      </w:r>
    </w:p>
    <w:p>
      <w:pPr>
        <w:pStyle w:val="ListBullet"/>
      </w:pPr>
      <w:r>
        <w:t>Desconecte baterías o fuentes de energía de respaldo.</w:t>
      </w:r>
    </w:p>
    <w:p>
      <w:pPr>
        <w:pStyle w:val="Heading3"/>
      </w:pPr>
      <w:r>
        <w:t>5.7 Verificación del Aislamiento</w:t>
      </w:r>
    </w:p>
    <w:p>
      <w:r>
        <w:t>Antes de iniciar el trabajo, el empleado autorizado debe verificar que el equipo está completamente aislado y des-energizado:</w:t>
      </w:r>
    </w:p>
    <w:p>
      <w:pPr>
        <w:pStyle w:val="ListBullet"/>
      </w:pPr>
      <w:r>
        <w:t>Intente arrancar el equipo utilizando los controles normales de operación (el equipo NO debe arrancar);</w:t>
      </w:r>
    </w:p>
    <w:p>
      <w:pPr>
        <w:pStyle w:val="ListBullet"/>
      </w:pPr>
      <w:r>
        <w:t>Utilice equipos de medición (multímetro, manómetro) para confirmar la ausencia de energía;</w:t>
      </w:r>
    </w:p>
    <w:p>
      <w:pPr>
        <w:pStyle w:val="ListBullet"/>
      </w:pPr>
      <w:r>
        <w:t>Regrese los controles de operación a la posición neutral/apagado después de la verificación.</w:t>
      </w:r>
    </w:p>
    <w:p>
      <w:pPr>
        <w:pStyle w:val="Heading2"/>
      </w:pPr>
      <w:r>
        <w:t>6. Tabla de Fuentes de Energía y Métodos de Aislamiento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 de Energía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Fuente Común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Dispositivo de Aislamiento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Eléctrica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Paneles eléctricos, transformadores, motores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Interruptor/desconector de circuito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Multímetro / probador de voltaje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Mecánica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Bandas, engranajes, volantes de inercia, resortes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Bloqueo físico, calzas, pines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Inspección visual de partes móviles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Hidráulica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Bombas, cilindros, acumuladores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Válvulas de corte, purga de presión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Manómetro (lectura de 0 PSI)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Neumática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Compresores, líneas de aire, cilindros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Válvulas de corte, purga de líneas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Manómetro (lectura de 0 PSI)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Térmica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Hornos, calderas, vapor, superficies calientes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Válvulas de corte, ventilación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Termómetro / medición de temperatura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Química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Tuberías de proceso, tanques de almacenamiento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Válvulas de corte, purga, bridas ciegas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Pruebas atmosféricas / detector de gas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Gravitacional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Componentes elevados, puertas de contenedores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Calzas, bloques, soportes mecánicos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Inspección visual de estabilidad</w:t>
            </w:r>
          </w:p>
        </w:tc>
      </w:tr>
    </w:tbl>
    <w:p/>
    <w:p>
      <w:pPr>
        <w:pStyle w:val="Heading2"/>
      </w:pPr>
      <w:r>
        <w:t>7. Restauración del Equipo al Servicio</w:t>
      </w:r>
    </w:p>
    <w:p>
      <w:r>
        <w:t>Una vez completado el trabajo de servicio o mantenimiento:</w:t>
      </w:r>
    </w:p>
    <w:p>
      <w:pPr>
        <w:pStyle w:val="ListBullet"/>
      </w:pPr>
      <w:r>
        <w:rPr>
          <w:b/>
        </w:rPr>
        <w:t xml:space="preserve">Paso 1: </w:t>
      </w:r>
      <w:r>
        <w:t>Inspeccione el área de trabajo para asegurar que todas las herramientas y materiales han sido retirados;</w:t>
      </w:r>
    </w:p>
    <w:p>
      <w:pPr>
        <w:pStyle w:val="ListBullet"/>
      </w:pPr>
      <w:r>
        <w:rPr>
          <w:b/>
        </w:rPr>
        <w:t xml:space="preserve">Paso 2: </w:t>
      </w:r>
      <w:r>
        <w:t>Verifique que todas las protecciones y dispositivos de seguridad del equipo estén instalados correctamente;</w:t>
      </w:r>
    </w:p>
    <w:p>
      <w:pPr>
        <w:pStyle w:val="ListBullet"/>
      </w:pPr>
      <w:r>
        <w:rPr>
          <w:b/>
        </w:rPr>
        <w:t xml:space="preserve">Paso 3: </w:t>
      </w:r>
      <w:r>
        <w:t>Confirme que todos los empleados estén alejados del equipo y en una posición segura;</w:t>
      </w:r>
    </w:p>
    <w:p>
      <w:pPr>
        <w:pStyle w:val="ListBullet"/>
      </w:pPr>
      <w:r>
        <w:rPr>
          <w:b/>
        </w:rPr>
        <w:t xml:space="preserve">Paso 4: </w:t>
      </w:r>
      <w:r>
        <w:t>Notifique a los empleados afectados que los dispositivos de bloqueo/etiquetado serán retirados;</w:t>
      </w:r>
    </w:p>
    <w:p>
      <w:pPr>
        <w:pStyle w:val="ListBullet"/>
      </w:pPr>
      <w:r>
        <w:rPr>
          <w:b/>
        </w:rPr>
        <w:t xml:space="preserve">Paso 5: </w:t>
      </w:r>
      <w:r>
        <w:t>El empleado autorizado que colocó el candado lo retira personalmente;</w:t>
      </w:r>
    </w:p>
    <w:p>
      <w:pPr>
        <w:pStyle w:val="ListBullet"/>
      </w:pPr>
      <w:r>
        <w:rPr>
          <w:b/>
        </w:rPr>
        <w:t xml:space="preserve">Paso 6: </w:t>
      </w:r>
      <w:r>
        <w:t>Reconecte las fuentes de energía y arranque el equipo siguiendo el procedimiento normal.</w:t>
      </w:r>
    </w:p>
    <w:p>
      <w:pPr>
        <w:pStyle w:val="Heading2"/>
      </w:pPr>
      <w:r>
        <w:t>8. Procedimiento de Cambio de Turno</w:t>
      </w:r>
    </w:p>
    <w:p>
      <w:r>
        <w:t>Cuando el trabajo de mantenimiento se extiende más allá de un turno, se debe garantizar la continuidad del bloqueo/etiquetado:</w:t>
      </w:r>
    </w:p>
    <w:p>
      <w:pPr>
        <w:pStyle w:val="ListBullet"/>
      </w:pPr>
      <w:r>
        <w:t>El empleado del turno entrante coloca su candado personal en el dispositivo de aislamiento ANTES de que el empleado del turno saliente retire su candado;</w:t>
      </w:r>
    </w:p>
    <w:p>
      <w:pPr>
        <w:pStyle w:val="ListBullet"/>
      </w:pPr>
      <w:r>
        <w:t>Se realiza una transferencia verbal de información sobre el estado del trabajo y los peligros presentes;</w:t>
      </w:r>
    </w:p>
    <w:p>
      <w:pPr>
        <w:pStyle w:val="ListBullet"/>
      </w:pPr>
      <w:r>
        <w:t>Se documenta la transferencia en el registro de bloqueo/etiquetado.</w:t>
      </w:r>
    </w:p>
    <w:p>
      <w:pPr>
        <w:pStyle w:val="Heading2"/>
      </w:pPr>
      <w:r>
        <w:t>9. Violaciones y Consecuencias</w:t>
      </w:r>
    </w:p>
    <w:p>
      <w:r>
        <w:t>Las violaciones de este procedimiento ponen en peligro vidas y serán tratadas con la máxima seriedad:</w:t>
      </w:r>
    </w:p>
    <w:p>
      <w:pPr>
        <w:pStyle w:val="ListBullet"/>
      </w:pPr>
      <w:r>
        <w:t>Retirar el candado o etiqueta de otro trabajador sin autorización — Terminación inmediata;</w:t>
      </w:r>
    </w:p>
    <w:p>
      <w:pPr>
        <w:pStyle w:val="ListBullet"/>
      </w:pPr>
      <w:r>
        <w:t>No seguir el procedimiento LOTO antes del servicio — Suspensión sin goce de sueldo; recapacitación obligatoria;</w:t>
      </w:r>
    </w:p>
    <w:p>
      <w:pPr>
        <w:pStyle w:val="ListBullet"/>
      </w:pPr>
      <w:r>
        <w:t>Operar equipo bloqueado/etiquetado — Suspensión sin goce de sueldo; investigación;</w:t>
      </w:r>
    </w:p>
    <w:p>
      <w:pPr>
        <w:pStyle w:val="ListBullet"/>
      </w:pPr>
      <w:r>
        <w:t>No verificar el aislamiento antes de iniciar el trabajo — Amonestación escrita; recapacitación.</w:t>
      </w:r>
    </w:p>
    <w:p>
      <w:pPr>
        <w:pStyle w:val="Heading2"/>
      </w:pPr>
      <w:r>
        <w:t>Acuse de Recibo del Empleado</w:t>
      </w:r>
    </w:p>
    <w:p>
      <w:r>
        <w:t>Yo, ________________________ (nombre en letra de molde), reconozco que he recibido, leído y comprendido esta política. Acepto cumplir con sus términos y condiciones como requisito de mi empleo con [NOMBRE DE LA EMPRESA].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del Empleado: ________________________</w:t>
            </w:r>
          </w:p>
        </w:tc>
        <w:tc>
          <w:tcPr>
            <w:tcW w:type="dxa" w:w="4320"/>
          </w:tcPr>
          <w:p>
            <w:r>
              <w:t>Fecha: ________________________</w:t>
            </w:r>
          </w:p>
        </w:tc>
      </w:tr>
      <w:tr>
        <w:tc>
          <w:tcPr>
            <w:tcW w:type="dxa" w:w="4320"/>
          </w:tcPr>
          <w:p>
            <w:r>
              <w:t>Nombre del Empleado: ________________________</w:t>
            </w:r>
          </w:p>
        </w:tc>
        <w:tc>
          <w:tcPr>
            <w:tcW w:type="dxa" w:w="4320"/>
          </w:tcPr>
          <w:p>
            <w:r>
              <w:t>Número de Empleado: ________________________</w:t>
            </w:r>
          </w:p>
        </w:tc>
      </w:tr>
      <w:tr>
        <w:tc>
          <w:tcPr>
            <w:tcW w:type="dxa" w:w="4320"/>
          </w:tcPr>
          <w:p>
            <w:r>
              <w:t>Departamento: ________________________</w:t>
            </w:r>
          </w:p>
        </w:tc>
        <w:tc>
          <w:tcPr>
            <w:tcW w:type="dxa" w:w="4320"/>
          </w:tcPr>
          <w:p>
            <w:r>
              <w:t>Puesto: ________________________</w:t>
            </w:r>
          </w:p>
        </w:tc>
      </w:tr>
    </w:tbl>
    <w:p>
      <w:pPr>
        <w:pStyle w:val="Heading2"/>
      </w:pPr>
      <w:r>
        <w:t>Aprobación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Cargo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Firma / Fecha</w:t>
            </w:r>
          </w:p>
        </w:tc>
      </w:tr>
      <w:tr>
        <w:tc>
          <w:tcPr>
            <w:tcW w:type="dxa" w:w="2880"/>
          </w:tcPr>
          <w:p>
            <w:r>
              <w:t>Presidente / Director General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VP, Recursos Humanos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Asesor Legal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i/>
        <w:color w:val="999999"/>
        <w:sz w:val="16"/>
      </w:rPr>
      <w:t>Preparado por Pure Work AI |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