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32"/>
        </w:rPr>
        <w:t>Compensation Adjustment Quick Reference</w:t>
      </w:r>
    </w:p>
    <w:p>
      <w:pPr>
        <w:spacing w:after="160"/>
        <w:jc w:val="center"/>
      </w:pPr>
      <w:r>
        <w:rPr>
          <w:rFonts w:ascii="Calibri" w:hAnsi="Calibri"/>
          <w:color w:val="666666"/>
          <w:sz w:val="18"/>
        </w:rPr>
        <w:t>Pure Work AI | Duty-Based Benchmarking</w:t>
      </w:r>
    </w:p>
    <w:p>
      <w:pPr>
        <w:pStyle w:val="Heading3"/>
        <w:spacing w:before="120" w:after="40"/>
      </w:pPr>
      <w:r>
        <w:t>Table 1: Geographic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76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Location Comparison</w:t>
            </w:r>
          </w:p>
        </w:tc>
        <w:tc>
          <w:tcPr>
            <w:tcW w:type="dxa" w:w="360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Adjustment</w:t>
            </w:r>
          </w:p>
        </w:tc>
      </w:tr>
      <w:tr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Toronto vs. Ontario provincial average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+7 to +12%</w:t>
            </w:r>
          </w:p>
        </w:tc>
      </w:tr>
      <w:tr>
        <w:tc>
          <w:tcPr>
            <w:tcW w:type="dxa" w:w="576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Vancouver vs. BC provincial average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+5 to +10%</w:t>
            </w:r>
          </w:p>
        </w:tc>
      </w:tr>
      <w:tr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Midwest US vs. US national average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-8 to -12%</w:t>
            </w:r>
          </w:p>
        </w:tc>
      </w:tr>
      <w:tr>
        <w:tc>
          <w:tcPr>
            <w:tcW w:type="dxa" w:w="576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NYC / SF vs. US national average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+15 to +25%</w:t>
            </w:r>
          </w:p>
        </w:tc>
      </w:tr>
      <w:tr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Remote-Canada (no city specified)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Use national, then -5%</w:t>
            </w:r>
          </w:p>
        </w:tc>
      </w:tr>
      <w:tr>
        <w:tc>
          <w:tcPr>
            <w:tcW w:type="dxa" w:w="576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Remote-US (no city specified)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Use national, no adjustment</w:t>
            </w:r>
          </w:p>
        </w:tc>
      </w:tr>
      <w:tr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Secondary Canadian city (Halifax, Winnipeg, etc.)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-5 to -10% vs. Toronto</w:t>
            </w:r>
          </w:p>
        </w:tc>
      </w:tr>
      <w:tr>
        <w:tc>
          <w:tcPr>
            <w:tcW w:type="dxa" w:w="576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Secondary US city (Charlotte, Columbus, etc.)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-8 to -15% vs. NYC/SF</w:t>
            </w:r>
          </w:p>
        </w:tc>
      </w:tr>
    </w:tbl>
    <w:p>
      <w:pPr>
        <w:spacing w:before="40" w:after="40"/>
      </w:pPr>
    </w:p>
    <w:p>
      <w:pPr>
        <w:pStyle w:val="Heading3"/>
        <w:spacing w:before="120" w:after="40"/>
      </w:pPr>
      <w:r>
        <w:t>Table 2: Company Size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32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Company Size</w:t>
            </w:r>
          </w:p>
        </w:tc>
        <w:tc>
          <w:tcPr>
            <w:tcW w:type="dxa" w:w="504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Adjustment vs. Large Company Data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0-50 employees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-10 to -15%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50-200 employees</w:t>
            </w:r>
          </w:p>
        </w:tc>
        <w:tc>
          <w:tcPr>
            <w:tcW w:type="dxa" w:w="504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-5 to -10%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200-1,000 employees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At market (no adjustment)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1,000+ employees</w:t>
            </w:r>
          </w:p>
        </w:tc>
        <w:tc>
          <w:tcPr>
            <w:tcW w:type="dxa" w:w="504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Data source default (no adjustment)</w:t>
            </w:r>
          </w:p>
        </w:tc>
      </w:tr>
    </w:tbl>
    <w:p>
      <w:pPr>
        <w:spacing w:before="40" w:after="40"/>
      </w:pPr>
    </w:p>
    <w:p>
      <w:pPr>
        <w:pStyle w:val="Heading3"/>
        <w:spacing w:before="120" w:after="40"/>
      </w:pPr>
      <w:r>
        <w:t>Table 3: Certification Premiums -- Canada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432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Certification</w:t>
            </w:r>
          </w:p>
        </w:tc>
        <w:tc>
          <w:tcPr>
            <w:tcW w:type="dxa" w:w="1728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Premium</w:t>
            </w:r>
          </w:p>
        </w:tc>
        <w:tc>
          <w:tcPr>
            <w:tcW w:type="dxa" w:w="3312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CPA (Chartered Professional Accountant)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+$10-20K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Higher end for public practice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CFA (Chartered Financial Analyst)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+$15-25K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Role-dependent; highest in portfolio mgmt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PMP (Project Management Professional)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+$5-10K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Strongest in IT project management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Red Seal (Skilled Trades)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+15-25%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Above non-certified trades rates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HCCP (Housing Credit Certified Professional)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+$3-7K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Affordable housing sector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CHRP / CHRL (HR Certification)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+$5-10K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Required for senior HR roles in many orgs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P.Eng (Professional Engineer)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+$8-15K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Required for signing authority</w:t>
            </w:r>
          </w:p>
        </w:tc>
      </w:tr>
    </w:tbl>
    <w:p>
      <w:pPr>
        <w:spacing w:before="40" w:after="40"/>
      </w:pPr>
    </w:p>
    <w:p>
      <w:pPr>
        <w:pStyle w:val="Heading3"/>
        <w:spacing w:before="120" w:after="40"/>
      </w:pPr>
      <w:r>
        <w:t>Table 4: Certification Premiums -- United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432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Certification</w:t>
            </w:r>
          </w:p>
        </w:tc>
        <w:tc>
          <w:tcPr>
            <w:tcW w:type="dxa" w:w="1728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Premium</w:t>
            </w:r>
          </w:p>
        </w:tc>
        <w:tc>
          <w:tcPr>
            <w:tcW w:type="dxa" w:w="3312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CPA (Certified Public Accountant)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+$10-20K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Standard for accounting/finance roles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CIA (Certified Internal Auditor)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+$8-15K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37-51% premium per IIA data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CISA (Certified Info Systems Auditor)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+$10-15K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IT audit and security roles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PHR / SPHR (HR Certification)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+$5-10K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SPHR commands higher premium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PMP (Project Management Professional)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+$5-12K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Strongest in IT and construction PM</w:t>
            </w:r>
          </w:p>
        </w:tc>
      </w:tr>
      <w:tr>
        <w:tc>
          <w:tcPr>
            <w:tcW w:type="dxa" w:w="432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CFA (Chartered Financial Analyst)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+$15-25K</w:t>
            </w:r>
          </w:p>
        </w:tc>
        <w:tc>
          <w:tcPr>
            <w:tcW w:type="dxa" w:w="331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Highest in investment management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PE (Professional Engineer)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+$8-15K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Required for signing authority</w:t>
            </w:r>
          </w:p>
        </w:tc>
      </w:tr>
    </w:tbl>
    <w:p>
      <w:pPr>
        <w:spacing w:before="40" w:after="40"/>
      </w:pPr>
    </w:p>
    <w:p>
      <w:pPr>
        <w:pStyle w:val="Heading3"/>
        <w:spacing w:before="120" w:after="40"/>
      </w:pPr>
      <w:r>
        <w:t>Table 5: Role Modifier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4032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Modifier</w:t>
            </w:r>
          </w:p>
        </w:tc>
        <w:tc>
          <w:tcPr>
            <w:tcW w:type="dxa" w:w="1728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Adjustment</w:t>
            </w:r>
          </w:p>
        </w:tc>
        <w:tc>
          <w:tcPr>
            <w:tcW w:type="dxa" w:w="3600"/>
            <w:shd w:fill="1A3A5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When to Apply</w:t>
            </w:r>
          </w:p>
        </w:tc>
      </w:tr>
      <w:tr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First hire / build from scratch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+5 to +10%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No existing infrastructure for this function</w:t>
            </w:r>
          </w:p>
        </w:tc>
      </w:tr>
      <w:tr>
        <w:tc>
          <w:tcPr>
            <w:tcW w:type="dxa" w:w="403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IC with manager title (no direct reports)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-3 to -5%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Title says Manager but role is individual contributor</w:t>
            </w:r>
          </w:p>
        </w:tc>
      </w:tr>
      <w:tr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Player-coach (works + manages)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+5 to +8%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Person both does the work AND manages a team</w:t>
            </w:r>
          </w:p>
        </w:tc>
      </w:tr>
      <w:tr>
        <w:tc>
          <w:tcPr>
            <w:tcW w:type="dxa" w:w="403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Bilingual (English/French, Canada)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+5 to +10%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Role requires active bilingual fluency</w:t>
            </w:r>
          </w:p>
        </w:tc>
      </w:tr>
      <w:tr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Bilingual (English/Spanish, US)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+3 to +7%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Role requires active bilingual fluency</w:t>
            </w:r>
          </w:p>
        </w:tc>
      </w:tr>
      <w:tr>
        <w:tc>
          <w:tcPr>
            <w:tcW w:type="dxa" w:w="403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Niche specialization (thin talent pool)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+5 to +10%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Very few qualified candidates in the market</w:t>
            </w:r>
          </w:p>
        </w:tc>
      </w:tr>
      <w:tr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Established function (replacement hire)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-3 to -5%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Replacing an existing employee; processes already built</w:t>
            </w:r>
          </w:p>
        </w:tc>
      </w:tr>
      <w:tr>
        <w:tc>
          <w:tcPr>
            <w:tcW w:type="dxa" w:w="4032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Multi-site / travel required</w:t>
            </w:r>
          </w:p>
        </w:tc>
        <w:tc>
          <w:tcPr>
            <w:tcW w:type="dxa" w:w="1728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+3 to +7%</w:t>
            </w:r>
          </w:p>
        </w:tc>
        <w:tc>
          <w:tcPr>
            <w:tcW w:type="dxa" w:w="3600"/>
            <w:shd w:fill="F5F7FA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333333"/>
                <w:sz w:val="16"/>
              </w:rPr>
              <w:t>Role requires regular travel or oversight of multiple locations</w:t>
            </w:r>
          </w:p>
        </w:tc>
      </w:tr>
    </w:tbl>
    <w:p>
      <w:pPr>
        <w:spacing w:before="40" w:after="40"/>
      </w:pPr>
    </w:p>
    <w:p>
      <w:pPr>
        <w:spacing w:before="120"/>
      </w:pPr>
      <w:r>
        <w:rPr>
          <w:rFonts w:ascii="Calibri" w:hAnsi="Calibri"/>
          <w:i/>
          <w:color w:val="333333"/>
          <w:sz w:val="16"/>
        </w:rPr>
        <w:t>All adjustment percentages are directional guidelines based on market analysis. Validate against current data sources for each specific engagement. Ranges may vary by industry, company stage, and market conditions.</w:t>
      </w:r>
    </w:p>
    <w:p>
      <w:pPr>
        <w:spacing w:before="80"/>
        <w:jc w:val="center"/>
      </w:pPr>
      <w:r>
        <w:rPr>
          <w:rFonts w:ascii="Calibri" w:hAnsi="Calibri"/>
          <w:i/>
          <w:color w:val="666666"/>
          <w:sz w:val="15"/>
        </w:rPr>
        <w:t>Print this page and reference during benchmarking projects. See full Methodology Guide for details.</w:t>
      </w:r>
    </w:p>
    <w:sectPr w:rsidR="00FC693F" w:rsidRPr="0006063C" w:rsidSect="00034616"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7B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