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A3A5C"/>
          <w:sz w:val="44"/>
        </w:rPr>
        <w:t>[COMPANY NAME]</w:t>
      </w:r>
    </w:p>
    <w:p>
      <w:r>
        <w:rPr>
          <w:rFonts w:ascii="Calibri" w:hAnsi="Calibri"/>
          <w:color w:val="666666"/>
          <w:sz w:val="22"/>
        </w:rPr>
        <w:t>[HOSPITALITY] -- [ONTARIO LLCA 2019] -- [Smart Serve]</w:t>
      </w:r>
    </w:p>
    <w:p>
      <w:pPr>
        <w:pStyle w:val="Heading1"/>
      </w:pPr>
      <w:r>
        <w:t>Responsible Alcohol Service Policy</w:t>
      </w:r>
    </w:p>
    <w:tbl>
      <w:tblPr>
        <w:tblW w:type="auto" w:w="0"/>
        <w:jc w:val="left"/>
        <w:tblLook w:firstColumn="1" w:firstRow="1" w:lastColumn="0" w:lastRow="0" w:noHBand="0" w:noVBand="1" w:val="04A0"/>
      </w:tblPr>
      <w:tblGrid>
        <w:gridCol w:w="4320"/>
        <w:gridCol w:w="4320"/>
      </w:tblGrid>
      <w:tr>
        <w:tc>
          <w:tcPr>
            <w:tcW w:type="dxa" w:w="4320"/>
          </w:tcPr>
          <w:p>
            <w:r/>
            <w:r>
              <w:rPr>
                <w:rFonts w:ascii="Calibri" w:hAnsi="Calibri"/>
                <w:b/>
                <w:sz w:val="20"/>
              </w:rPr>
              <w:t>Policy Number:</w:t>
            </w:r>
          </w:p>
        </w:tc>
        <w:tc>
          <w:tcPr>
            <w:tcW w:type="dxa" w:w="4320"/>
          </w:tcPr>
          <w:p>
            <w:r/>
            <w:r>
              <w:rPr>
                <w:rFonts w:ascii="Calibri" w:hAnsi="Calibri"/>
                <w:sz w:val="20"/>
              </w:rPr>
              <w:t>[POLICY-032]</w:t>
            </w:r>
          </w:p>
        </w:tc>
      </w:tr>
      <w:tr>
        <w:tc>
          <w:tcPr>
            <w:tcW w:type="dxa" w:w="4320"/>
          </w:tcPr>
          <w:p>
            <w:r/>
            <w:r>
              <w:rPr>
                <w:rFonts w:ascii="Calibri" w:hAnsi="Calibri"/>
                <w:b/>
                <w:sz w:val="20"/>
              </w:rPr>
              <w:t>Version:</w:t>
            </w:r>
          </w:p>
        </w:tc>
        <w:tc>
          <w:tcPr>
            <w:tcW w:type="dxa" w:w="4320"/>
          </w:tcPr>
          <w:p>
            <w:r/>
            <w:r>
              <w:rPr>
                <w:rFonts w:ascii="Calibri" w:hAnsi="Calibri"/>
                <w:sz w:val="20"/>
              </w:rPr>
              <w:t>[1.0]</w:t>
            </w:r>
          </w:p>
        </w:tc>
      </w:tr>
      <w:tr>
        <w:tc>
          <w:tcPr>
            <w:tcW w:type="dxa" w:w="4320"/>
          </w:tcPr>
          <w:p>
            <w:r/>
            <w:r>
              <w:rPr>
                <w:rFonts w:ascii="Calibri" w:hAnsi="Calibri"/>
                <w:b/>
                <w:sz w:val="20"/>
              </w:rPr>
              <w:t>Effective Date:</w:t>
            </w:r>
          </w:p>
        </w:tc>
        <w:tc>
          <w:tcPr>
            <w:tcW w:type="dxa" w:w="4320"/>
          </w:tcPr>
          <w:p>
            <w:r/>
            <w:r>
              <w:rPr>
                <w:rFonts w:ascii="Calibri" w:hAnsi="Calibri"/>
                <w:sz w:val="20"/>
              </w:rPr>
              <w:t>[EFFECTIVE DATE]</w:t>
            </w:r>
          </w:p>
        </w:tc>
      </w:tr>
      <w:tr>
        <w:tc>
          <w:tcPr>
            <w:tcW w:type="dxa" w:w="4320"/>
          </w:tcPr>
          <w:p>
            <w:r/>
            <w:r>
              <w:rPr>
                <w:rFonts w:ascii="Calibri" w:hAnsi="Calibri"/>
                <w:b/>
                <w:sz w:val="20"/>
              </w:rPr>
              <w:t>Last Reviewed:</w:t>
            </w:r>
          </w:p>
        </w:tc>
        <w:tc>
          <w:tcPr>
            <w:tcW w:type="dxa" w:w="4320"/>
          </w:tcPr>
          <w:p>
            <w:r/>
            <w:r>
              <w:rPr>
                <w:rFonts w:ascii="Calibri" w:hAnsi="Calibri"/>
                <w:sz w:val="20"/>
              </w:rPr>
              <w:t>[REVIEW DATE]</w:t>
            </w:r>
          </w:p>
        </w:tc>
      </w:tr>
      <w:tr>
        <w:tc>
          <w:tcPr>
            <w:tcW w:type="dxa" w:w="4320"/>
          </w:tcPr>
          <w:p>
            <w:r/>
            <w:r>
              <w:rPr>
                <w:rFonts w:ascii="Calibri" w:hAnsi="Calibri"/>
                <w:b/>
                <w:sz w:val="20"/>
              </w:rPr>
              <w:t>Policy Owner:</w:t>
            </w:r>
          </w:p>
        </w:tc>
        <w:tc>
          <w:tcPr>
            <w:tcW w:type="dxa" w:w="4320"/>
          </w:tcPr>
          <w:p>
            <w:r/>
            <w:r>
              <w:rPr>
                <w:rFonts w:ascii="Calibri" w:hAnsi="Calibri"/>
                <w:sz w:val="20"/>
              </w:rPr>
              <w:t>General Manager / VP, Human Resources</w:t>
            </w:r>
          </w:p>
        </w:tc>
      </w:tr>
    </w:tbl>
    <w:p/>
    <w:p>
      <w:pPr>
        <w:pStyle w:val="Heading2"/>
      </w:pPr>
      <w:r>
        <w:t>1. Purpose</w:t>
      </w:r>
    </w:p>
    <w:p>
      <w:r>
        <w:t>[COMPANY NAME] is committed to the responsible service of alcohol to protect our guests, staff, and community. This policy establishes the requirements for server certification, age verification, monitoring for intoxication, service refusal, and compliance with applicable liquor laws in accordance with the Ontario Liquor Licence and Control Act, 2019 (LLCA) and the Alcohol and Gaming Commission of Ontario (AGCO) regulations.</w:t>
      </w:r>
    </w:p>
    <w:p>
      <w:pPr>
        <w:pStyle w:val="Heading2"/>
      </w:pPr>
      <w:r>
        <w:t>2. Scope</w:t>
      </w:r>
    </w:p>
    <w:p>
      <w:r>
        <w:t>This policy applies to all employees who serve, sell, or are involved in the service of alcohol at any [COMPANY NAME] licensed location, including servers, bartenders, hosts, managers, supervisors, event staff, and security personnel.</w:t>
      </w:r>
    </w:p>
    <w:p>
      <w:pPr>
        <w:pStyle w:val="Heading2"/>
      </w:pPr>
      <w:r>
        <w:t>3. Server Certification</w:t>
      </w:r>
    </w:p>
    <w:p>
      <w:pPr>
        <w:pStyle w:val="ListBullet"/>
      </w:pPr>
      <w:r>
        <w:t>All employees who serve or sell alcohol must hold a valid Smart Serve certification (Ontario) or equivalent responsible service certification (e.g., TIPS, ServSafe Alcohol) as required by the jurisdiction. In Ontario, Smart Serve certification is mandatory under AGCO requirements for all servers of alcohol;</w:t>
      </w:r>
    </w:p>
    <w:p>
      <w:pPr>
        <w:pStyle w:val="ListBullet"/>
      </w:pPr>
      <w:r>
        <w:t>Certification must be obtained BEFORE the employee is permitted to serve alcohol. No employee may serve alcohol without a valid certification;</w:t>
      </w:r>
    </w:p>
    <w:p>
      <w:pPr>
        <w:pStyle w:val="ListBullet"/>
      </w:pPr>
      <w:r>
        <w:t>Proof of certification must be kept on file by [COMPANY NAME] and be available for inspection by AGCO inspectors or law enforcement;</w:t>
      </w:r>
    </w:p>
    <w:p>
      <w:pPr>
        <w:pStyle w:val="ListBullet"/>
      </w:pPr>
      <w:r>
        <w:t>Certification renewal must be completed in accordance with the certifying body's requirements. Employees whose certification has expired may not serve alcohol until recertified.</w:t>
      </w:r>
    </w:p>
    <w:p>
      <w:pPr>
        <w:pStyle w:val="Heading2"/>
      </w:pPr>
      <w:r>
        <w:t>4. Age Verification</w:t>
      </w:r>
    </w:p>
    <w:p>
      <w:r>
        <w:t>The legal drinking age is 19 in Ontario (21 in applicable US jurisdictions). [COMPANY NAME] requires age verification for any guest who appears to be under 30 years of age.</w:t>
      </w:r>
    </w:p>
    <w:p>
      <w:pPr>
        <w:pStyle w:val="Heading3"/>
      </w:pPr>
      <w:r>
        <w:t>4.1 Acceptable Identification</w:t>
      </w:r>
    </w:p>
    <w:p>
      <w:r>
        <w:t>The following forms of government-issued photo identification are accepted:</w:t>
      </w:r>
    </w:p>
    <w:p>
      <w:pPr>
        <w:pStyle w:val="ListBullet"/>
      </w:pPr>
      <w:r>
        <w:t>Ontario Driver's Licence or photo identification card;</w:t>
      </w:r>
    </w:p>
    <w:p>
      <w:pPr>
        <w:pStyle w:val="ListBullet"/>
      </w:pPr>
      <w:r>
        <w:t>Canadian passport or Canadian permanent resident card;</w:t>
      </w:r>
    </w:p>
    <w:p>
      <w:pPr>
        <w:pStyle w:val="ListBullet"/>
      </w:pPr>
      <w:r>
        <w:t>Canadian citizenship card (with photo);</w:t>
      </w:r>
    </w:p>
    <w:p>
      <w:pPr>
        <w:pStyle w:val="ListBullet"/>
      </w:pPr>
      <w:r>
        <w:t>Bring Your Identification (BYID) card;</w:t>
      </w:r>
    </w:p>
    <w:p>
      <w:pPr>
        <w:pStyle w:val="ListBullet"/>
      </w:pPr>
      <w:r>
        <w:t>Secure Indian Status Card;</w:t>
      </w:r>
    </w:p>
    <w:p>
      <w:pPr>
        <w:pStyle w:val="ListBullet"/>
      </w:pPr>
      <w:r>
        <w:t>Canadian Armed Forces identity card;</w:t>
      </w:r>
    </w:p>
    <w:p>
      <w:pPr>
        <w:pStyle w:val="ListBullet"/>
      </w:pPr>
      <w:r>
        <w:t>Foreign passport (for international guests).</w:t>
      </w:r>
    </w:p>
    <w:p>
      <w:r>
        <w:t>The following are NOT acceptable forms of identification for alcohol service:</w:t>
      </w:r>
    </w:p>
    <w:p>
      <w:pPr>
        <w:pStyle w:val="ListBullet"/>
      </w:pPr>
      <w:r>
        <w:t>Ontario Health Card (the Health Insurance Act prohibits its use as general identification);</w:t>
      </w:r>
    </w:p>
    <w:p>
      <w:pPr>
        <w:pStyle w:val="ListBullet"/>
      </w:pPr>
      <w:r>
        <w:t>Student cards, employee badges, or any non-government-issued identification;</w:t>
      </w:r>
    </w:p>
    <w:p>
      <w:pPr>
        <w:pStyle w:val="ListBullet"/>
      </w:pPr>
      <w:r>
        <w:t>Photocopies, digital photos of ID, or expired identification.</w:t>
      </w:r>
    </w:p>
    <w:p>
      <w:pPr>
        <w:pStyle w:val="Heading3"/>
      </w:pPr>
      <w:r>
        <w:t>4.2 Verification Process</w:t>
      </w:r>
    </w:p>
    <w:p>
      <w:pPr>
        <w:pStyle w:val="ListBullet"/>
      </w:pPr>
      <w:r>
        <w:t>Compare the photo on the ID to the person presenting it;</w:t>
      </w:r>
    </w:p>
    <w:p>
      <w:pPr>
        <w:pStyle w:val="ListBullet"/>
      </w:pPr>
      <w:r>
        <w:t>Check the date of birth to confirm the guest is of legal age;</w:t>
      </w:r>
    </w:p>
    <w:p>
      <w:pPr>
        <w:pStyle w:val="ListBullet"/>
      </w:pPr>
      <w:r>
        <w:t>Check the expiry date to confirm the ID is current;</w:t>
      </w:r>
    </w:p>
    <w:p>
      <w:pPr>
        <w:pStyle w:val="ListBullet"/>
      </w:pPr>
      <w:r>
        <w:t>Check for signs of tampering (altered dates, peeled lamination, mismatched fonts);</w:t>
      </w:r>
    </w:p>
    <w:p>
      <w:pPr>
        <w:pStyle w:val="ListBullet"/>
      </w:pPr>
      <w:r>
        <w:t>If there is any doubt about the authenticity of the ID or the identity of the guest, politely decline to serve alcohol and notify a manager.</w:t>
      </w:r>
    </w:p>
    <w:p>
      <w:pPr>
        <w:pStyle w:val="Heading2"/>
      </w:pPr>
      <w:r>
        <w:t>5. Signs of Intoxication</w:t>
      </w:r>
    </w:p>
    <w:p>
      <w:r>
        <w:t>All service staff must be trained to recognize the signs of intoxication. Signs are categorized as follows:</w:t>
      </w:r>
    </w:p>
    <w:p>
      <w:pPr>
        <w:pStyle w:val="Heading3"/>
      </w:pPr>
      <w:r>
        <w:t>5.1 Physical Signs</w:t>
      </w:r>
    </w:p>
    <w:p>
      <w:pPr>
        <w:pStyle w:val="ListBullet"/>
      </w:pPr>
      <w:r>
        <w:t>Slurred or incoherent speech;</w:t>
      </w:r>
    </w:p>
    <w:p>
      <w:pPr>
        <w:pStyle w:val="ListBullet"/>
      </w:pPr>
      <w:r>
        <w:t>Unsteady gait, difficulty walking, swaying, stumbling;</w:t>
      </w:r>
    </w:p>
    <w:p>
      <w:pPr>
        <w:pStyle w:val="ListBullet"/>
      </w:pPr>
      <w:r>
        <w:t>Bloodshot or glassy eyes;</w:t>
      </w:r>
    </w:p>
    <w:p>
      <w:pPr>
        <w:pStyle w:val="ListBullet"/>
      </w:pPr>
      <w:r>
        <w:t>Flushed face;</w:t>
      </w:r>
    </w:p>
    <w:p>
      <w:pPr>
        <w:pStyle w:val="ListBullet"/>
      </w:pPr>
      <w:r>
        <w:t>Drooping eyelids, difficulty focusing;</w:t>
      </w:r>
    </w:p>
    <w:p>
      <w:pPr>
        <w:pStyle w:val="ListBullet"/>
      </w:pPr>
      <w:r>
        <w:t>Spilling drinks, difficulty picking up items.</w:t>
      </w:r>
    </w:p>
    <w:p>
      <w:pPr>
        <w:pStyle w:val="Heading3"/>
      </w:pPr>
      <w:r>
        <w:t>5.2 Behavioral Signs</w:t>
      </w:r>
    </w:p>
    <w:p>
      <w:pPr>
        <w:pStyle w:val="ListBullet"/>
      </w:pPr>
      <w:r>
        <w:t>Loud, boisterous, or overly animated behavior that is out of character or escalating;</w:t>
      </w:r>
    </w:p>
    <w:p>
      <w:pPr>
        <w:pStyle w:val="ListBullet"/>
      </w:pPr>
      <w:r>
        <w:t>Aggressive, argumentative, or confrontational behavior;</w:t>
      </w:r>
    </w:p>
    <w:p>
      <w:pPr>
        <w:pStyle w:val="ListBullet"/>
      </w:pPr>
      <w:r>
        <w:t>Inappropriate comments, sexual advances, or offensive conduct;</w:t>
      </w:r>
    </w:p>
    <w:p>
      <w:pPr>
        <w:pStyle w:val="ListBullet"/>
      </w:pPr>
      <w:r>
        <w:t>Becoming unusually emotional (crying, anger, mood swings);</w:t>
      </w:r>
    </w:p>
    <w:p>
      <w:pPr>
        <w:pStyle w:val="ListBullet"/>
      </w:pPr>
      <w:r>
        <w:t>Making complaints about drink strength or requesting unusually strong drinks.</w:t>
      </w:r>
    </w:p>
    <w:p>
      <w:pPr>
        <w:pStyle w:val="Heading3"/>
      </w:pPr>
      <w:r>
        <w:t>5.3 Cognitive Signs</w:t>
      </w:r>
    </w:p>
    <w:p>
      <w:pPr>
        <w:pStyle w:val="ListBullet"/>
      </w:pPr>
      <w:r>
        <w:t>Poor judgment (e.g., leaving belongings unattended, losing track of companions);</w:t>
      </w:r>
    </w:p>
    <w:p>
      <w:pPr>
        <w:pStyle w:val="ListBullet"/>
      </w:pPr>
      <w:r>
        <w:t>Slow response to questions or conversation;</w:t>
      </w:r>
    </w:p>
    <w:p>
      <w:pPr>
        <w:pStyle w:val="ListBullet"/>
      </w:pPr>
      <w:r>
        <w:t>Difficulty handling money, signing receipts, or using a payment terminal;</w:t>
      </w:r>
    </w:p>
    <w:p>
      <w:pPr>
        <w:pStyle w:val="ListBullet"/>
      </w:pPr>
      <w:r>
        <w:t>Inability to remember orders or conversations from moments earlier.</w:t>
      </w:r>
    </w:p>
    <w:p>
      <w:pPr>
        <w:pStyle w:val="Heading2"/>
      </w:pPr>
      <w:r>
        <w:t>6. Service Pace and Limits</w:t>
      </w:r>
    </w:p>
    <w:p>
      <w:pPr>
        <w:pStyle w:val="ListBullet"/>
      </w:pPr>
      <w:r>
        <w:t>Servers should pace alcohol service, allowing time between rounds for the effects of alcohol to become apparent;</w:t>
      </w:r>
    </w:p>
    <w:p>
      <w:pPr>
        <w:pStyle w:val="ListBullet"/>
      </w:pPr>
      <w:r>
        <w:t>Do not serve more than one drink at a time per guest, unless the guest is clearly ordering for others in their party;</w:t>
      </w:r>
    </w:p>
    <w:p>
      <w:pPr>
        <w:pStyle w:val="ListBullet"/>
      </w:pPr>
      <w:r>
        <w:t>[COMPANY NAME] prohibits the following practices: last-call drink hoarding (multiple drinks ordered at last call), drinking contests, volume discounts that encourage overconsumption, and unlimited drink promotions;</w:t>
      </w:r>
    </w:p>
    <w:p>
      <w:pPr>
        <w:pStyle w:val="ListBullet"/>
      </w:pPr>
      <w:r>
        <w:t>Always offer food and non-alcoholic beverages alongside alcohol service;</w:t>
      </w:r>
    </w:p>
    <w:p>
      <w:pPr>
        <w:pStyle w:val="ListBullet"/>
      </w:pPr>
      <w:r>
        <w:t>Note: Specific service pace restrictions (e.g., no doubles after a certain hour, no shots after a certain hour) may be established by location management and posted in the staff area. Follow location-specific rules in addition to this policy.</w:t>
      </w:r>
    </w:p>
    <w:p>
      <w:pPr>
        <w:pStyle w:val="Heading2"/>
      </w:pPr>
      <w:r>
        <w:t>7. Cut-Off and Refusal of Service</w:t>
      </w:r>
    </w:p>
    <w:p>
      <w:pPr>
        <w:pStyle w:val="Heading3"/>
      </w:pPr>
      <w:r>
        <w:t>7.1 Cut-Off Procedure</w:t>
      </w:r>
    </w:p>
    <w:p>
      <w:r>
        <w:t>When a guest is approaching or has reached intoxication, the server must:</w:t>
      </w:r>
    </w:p>
    <w:p>
      <w:pPr>
        <w:pStyle w:val="ListBullet"/>
      </w:pPr>
      <w:r>
        <w:t>Stop serving alcohol immediately. You do not need management permission to stop serving a guest who is intoxicated -- this is a legal obligation;</w:t>
      </w:r>
    </w:p>
    <w:p>
      <w:pPr>
        <w:pStyle w:val="ListBullet"/>
      </w:pPr>
      <w:r>
        <w:t>Approach the guest calmly and respectfully. Use empathetic, non-confrontational language;</w:t>
      </w:r>
    </w:p>
    <w:p>
      <w:pPr>
        <w:pStyle w:val="ListBullet"/>
      </w:pPr>
      <w:r>
        <w:t>Offer alternatives: water, soft drinks, coffee, tea, food;</w:t>
      </w:r>
    </w:p>
    <w:p>
      <w:pPr>
        <w:pStyle w:val="ListBullet"/>
      </w:pPr>
      <w:r>
        <w:t>Arrange safe transportation: offer to call a taxi, rideshare, or designated driver. Never allow an intoxicated guest to drive;</w:t>
      </w:r>
    </w:p>
    <w:p>
      <w:pPr>
        <w:pStyle w:val="ListBullet"/>
      </w:pPr>
      <w:r>
        <w:t>Notify a manager or supervisor immediately after the cut-off;</w:t>
      </w:r>
    </w:p>
    <w:p>
      <w:pPr>
        <w:pStyle w:val="ListBullet"/>
      </w:pPr>
      <w:r>
        <w:t>Document the incident in the Incident Log (see Section 11).</w:t>
      </w:r>
    </w:p>
    <w:p>
      <w:pPr>
        <w:pStyle w:val="Heading3"/>
      </w:pPr>
      <w:r>
        <w:t>7.2 Refusal Scripts</w:t>
      </w:r>
    </w:p>
    <w:p>
      <w:r>
        <w:t>Staff should use clear, compassionate language when refusing service:</w:t>
      </w:r>
    </w:p>
    <w:p>
      <w:pPr>
        <w:pStyle w:val="ListBullet"/>
      </w:pPr>
      <w:r>
        <w:t>For an intoxicated guest: 'I want to make sure you have a great evening. I am not able to serve you another drink right now, but I would be happy to get you some water or a coffee. Can I call you a ride home?'</w:t>
      </w:r>
    </w:p>
    <w:p>
      <w:pPr>
        <w:pStyle w:val="ListBullet"/>
      </w:pPr>
      <w:r>
        <w:t>For an underage guest: 'I am sorry, I am not able to accept this form of ID. I will need to see valid government-issued photo identification with your date of birth before I can serve you.'</w:t>
      </w:r>
    </w:p>
    <w:p>
      <w:pPr>
        <w:pStyle w:val="ListBullet"/>
      </w:pPr>
      <w:r>
        <w:t>If a guest becomes aggressive: 'I understand this is frustrating. My concern is your safety. Let me get my manager to help.' Step back and summon a manager or security.</w:t>
      </w:r>
    </w:p>
    <w:p>
      <w:pPr>
        <w:pStyle w:val="Heading2"/>
      </w:pPr>
      <w:r>
        <w:t>8. Last Call and Closing</w:t>
      </w:r>
    </w:p>
    <w:p>
      <w:r>
        <w:t>Last call and closing times must comply with the hours permitted on [COMPANY NAME]'s liquor licence and applicable municipal bylaws:</w:t>
      </w:r>
    </w:p>
    <w:p>
      <w:pPr>
        <w:pStyle w:val="ListBullet"/>
      </w:pPr>
      <w:r>
        <w:t>Standard licensed hours in Ontario: Service begins at 9:00 AM (or 11:00 AM on Sundays, unless extended). Service must end by 2:00 AM. Alcohol must be removed from tables by 2:45 AM and the premises must be cleared by the time specified on the licence;</w:t>
      </w:r>
    </w:p>
    <w:p>
      <w:pPr>
        <w:pStyle w:val="ListBullet"/>
      </w:pPr>
      <w:r>
        <w:t>Last call must be announced clearly at least 30 minutes before service ends;</w:t>
      </w:r>
    </w:p>
    <w:p>
      <w:pPr>
        <w:pStyle w:val="ListBullet"/>
      </w:pPr>
      <w:r>
        <w:t>No alcohol may be served, sold, or provided after the licensed service end time.</w:t>
      </w:r>
    </w:p>
    <w:p>
      <w:pPr>
        <w:pStyle w:val="Heading2"/>
      </w:pPr>
      <w:r>
        <w:t>9. Over-Service Liability</w:t>
      </w:r>
    </w:p>
    <w:p>
      <w:r>
        <w:t>[COMPANY NAME] and individual staff members may be held civilly liable for damages caused by an intoxicated patron if it can be demonstrated that the establishment continued to serve alcohol to a person who was apparently intoxicated (dram shop liability). In addition:</w:t>
      </w:r>
    </w:p>
    <w:p>
      <w:pPr>
        <w:pStyle w:val="ListBullet"/>
      </w:pPr>
      <w:r>
        <w:t>Under the LLCA, the licence holder (and any person who serves alcohol) may face administrative penalties from the AGCO including fines, suspension, or revocation of the liquor licence;</w:t>
      </w:r>
    </w:p>
    <w:p>
      <w:pPr>
        <w:pStyle w:val="ListBullet"/>
      </w:pPr>
      <w:r>
        <w:t>Individuals who serve an obviously intoxicated person may face personal liability under common law negligence;</w:t>
      </w:r>
    </w:p>
    <w:p>
      <w:pPr>
        <w:pStyle w:val="ListBullet"/>
      </w:pPr>
      <w:r>
        <w:t>Social host liability may apply at private events hosted by [COMPANY NAME];</w:t>
      </w:r>
    </w:p>
    <w:p>
      <w:pPr>
        <w:pStyle w:val="ListBullet"/>
      </w:pPr>
      <w:r>
        <w:t>Responsible service of alcohol is not optional -- it is a legal obligation that protects our guests, our staff, our business, and our community.</w:t>
      </w:r>
    </w:p>
    <w:p>
      <w:pPr>
        <w:pStyle w:val="Heading2"/>
      </w:pPr>
      <w:r>
        <w:t>10. Minors on Licensed Premises</w:t>
      </w:r>
    </w:p>
    <w:p>
      <w:pPr>
        <w:pStyle w:val="ListBullet"/>
      </w:pPr>
      <w:r>
        <w:t>Minors (persons under the legal drinking age) are permitted on the licensed premises during the hours and in the areas specified on [COMPANY NAME]'s liquor licence (typically until 9:00 PM or 10:00 PM, depending on the licence type and the presence of an adult guardian);</w:t>
      </w:r>
    </w:p>
    <w:p>
      <w:pPr>
        <w:pStyle w:val="ListBullet"/>
      </w:pPr>
      <w:r>
        <w:t>Minors must not be served, sold, or given alcohol under any circumstances;</w:t>
      </w:r>
    </w:p>
    <w:p>
      <w:pPr>
        <w:pStyle w:val="ListBullet"/>
      </w:pPr>
      <w:r>
        <w:t>A minor accompanied by a parent or legal guardian may be permitted on the premises as specified by the licence. Confirm local licence conditions;</w:t>
      </w:r>
    </w:p>
    <w:p>
      <w:pPr>
        <w:pStyle w:val="ListBullet"/>
      </w:pPr>
      <w:r>
        <w:t>Staff must offer a full selection of non-alcoholic beverages to minor guests.</w:t>
      </w:r>
    </w:p>
    <w:p>
      <w:pPr>
        <w:pStyle w:val="Heading2"/>
      </w:pPr>
      <w:r>
        <w:t>11. Incident Documentation</w:t>
      </w:r>
    </w:p>
    <w:p>
      <w:r>
        <w:t>All incidents related to alcohol service must be documented in the Incident Log. Incidents requiring documentation include:</w:t>
      </w:r>
    </w:p>
    <w:p>
      <w:pPr>
        <w:pStyle w:val="ListBullet"/>
      </w:pPr>
      <w:r>
        <w:t>Refusal of service (underage or intoxicated);</w:t>
      </w:r>
    </w:p>
    <w:p>
      <w:pPr>
        <w:pStyle w:val="ListBullet"/>
      </w:pPr>
      <w:r>
        <w:t>Cut-off of service;</w:t>
      </w:r>
    </w:p>
    <w:p>
      <w:pPr>
        <w:pStyle w:val="ListBullet"/>
      </w:pPr>
      <w:r>
        <w:t>Ejection of a guest;</w:t>
      </w:r>
    </w:p>
    <w:p>
      <w:pPr>
        <w:pStyle w:val="ListBullet"/>
      </w:pPr>
      <w:r>
        <w:t>Altercations or aggressive behavior;</w:t>
      </w:r>
    </w:p>
    <w:p>
      <w:pPr>
        <w:pStyle w:val="ListBullet"/>
      </w:pPr>
      <w:r>
        <w:t>Medical incidents related to alcohol;</w:t>
      </w:r>
    </w:p>
    <w:p>
      <w:pPr>
        <w:pStyle w:val="ListBullet"/>
      </w:pPr>
      <w:r>
        <w:t>ID confiscation or suspected fraudulent identification;</w:t>
      </w:r>
    </w:p>
    <w:p>
      <w:pPr>
        <w:pStyle w:val="ListBullet"/>
      </w:pPr>
      <w:r>
        <w:t>Law enforcement or AGCO inspector visits.</w:t>
      </w:r>
    </w:p>
    <w:p>
      <w:r>
        <w:t>Each entry must include: date, time, location, description of the incident, names of staff involved, names of witnesses (if available), actions taken, and outcome. The Incident Log must be retained for a minimum of 2 years.</w:t>
      </w:r>
    </w:p>
    <w:p>
      <w:pPr>
        <w:pStyle w:val="Heading2"/>
      </w:pPr>
      <w:r>
        <w:t>12. Liquor Licence Compliance</w:t>
      </w:r>
    </w:p>
    <w:p>
      <w:pPr>
        <w:pStyle w:val="ListBullet"/>
      </w:pPr>
      <w:r>
        <w:t>The liquor licence must be posted in a conspicuous location visible to the public;</w:t>
      </w:r>
    </w:p>
    <w:p>
      <w:pPr>
        <w:pStyle w:val="ListBullet"/>
      </w:pPr>
      <w:r>
        <w:t>Service must not exceed the licensed capacity;</w:t>
      </w:r>
    </w:p>
    <w:p>
      <w:pPr>
        <w:pStyle w:val="ListBullet"/>
      </w:pPr>
      <w:r>
        <w:t>Hours of service must not exceed the hours specified on the licence;</w:t>
      </w:r>
    </w:p>
    <w:p>
      <w:pPr>
        <w:pStyle w:val="ListBullet"/>
      </w:pPr>
      <w:r>
        <w:t>Entertainment permits must be obtained as required by the licence conditions and municipal bylaws;</w:t>
      </w:r>
    </w:p>
    <w:p>
      <w:pPr>
        <w:pStyle w:val="ListBullet"/>
      </w:pPr>
      <w:r>
        <w:t>All conditions on the liquor licence must be followed at all times.</w:t>
      </w:r>
    </w:p>
    <w:p>
      <w:pPr>
        <w:pStyle w:val="Heading2"/>
      </w:pPr>
      <w:r>
        <w:t>13. Training Requirements</w:t>
      </w:r>
    </w:p>
    <w:p>
      <w:pPr>
        <w:pStyle w:val="ListBullet"/>
      </w:pPr>
      <w:r>
        <w:t>Smart Serve (or equivalent) certification is mandatory before serving alcohol;</w:t>
      </w:r>
    </w:p>
    <w:p>
      <w:pPr>
        <w:pStyle w:val="ListBullet"/>
      </w:pPr>
      <w:r>
        <w:t>All service staff must complete [COMPANY NAME] responsible alcohol service orientation on their first day;</w:t>
      </w:r>
    </w:p>
    <w:p>
      <w:pPr>
        <w:pStyle w:val="ListBullet"/>
      </w:pPr>
      <w:r>
        <w:t>Annual refresher training is required for all staff involved in alcohol service;</w:t>
      </w:r>
    </w:p>
    <w:p>
      <w:pPr>
        <w:pStyle w:val="ListBullet"/>
      </w:pPr>
      <w:r>
        <w:t>Training must cover: signs of intoxication, cut-off procedures, refusal techniques, age verification, legal obligations, and incident documentation;</w:t>
      </w:r>
    </w:p>
    <w:p>
      <w:pPr>
        <w:pStyle w:val="ListBullet"/>
      </w:pPr>
      <w:r>
        <w:t>Training records must be documented and retained.</w:t>
      </w:r>
    </w:p>
    <w:p>
      <w:pPr>
        <w:pStyle w:val="Heading2"/>
      </w:pPr>
      <w:r>
        <w:t>14. Policy Review</w:t>
      </w:r>
    </w:p>
    <w:p>
      <w:r>
        <w:t>This policy shall be reviewed at least annually by the General Manager and VP, Human Resources, and updated as required.</w:t>
      </w:r>
    </w:p>
    <w:p>
      <w:pPr>
        <w:pStyle w:val="Heading2"/>
      </w:pPr>
      <w:r>
        <w:t>Approval</w:t>
      </w:r>
    </w:p>
    <w:tbl>
      <w:tblPr>
        <w:tblW w:type="auto" w:w="0"/>
        <w:jc w:val="left"/>
        <w:tblLook w:firstColumn="1" w:firstRow="1" w:lastColumn="0" w:lastRow="0" w:noHBand="0" w:noVBand="1" w:val="04A0"/>
      </w:tblPr>
      <w:tblGrid>
        <w:gridCol w:w="2880"/>
        <w:gridCol w:w="2880"/>
        <w:gridCol w:w="2880"/>
      </w:tblGrid>
      <w:tr>
        <w:tc>
          <w:tcPr>
            <w:tcW w:type="dxa" w:w="2880"/>
          </w:tcPr>
          <w:p>
            <w:r/>
            <w:r>
              <w:rPr>
                <w:rFonts w:ascii="Calibri" w:hAnsi="Calibri"/>
                <w:b/>
                <w:sz w:val="20"/>
              </w:rPr>
              <w:t>Role</w:t>
            </w:r>
          </w:p>
        </w:tc>
        <w:tc>
          <w:tcPr>
            <w:tcW w:type="dxa" w:w="2880"/>
          </w:tcPr>
          <w:p>
            <w:r/>
            <w:r>
              <w:rPr>
                <w:rFonts w:ascii="Calibri" w:hAnsi="Calibri"/>
                <w:b/>
                <w:sz w:val="20"/>
              </w:rPr>
              <w:t>Name</w:t>
            </w:r>
          </w:p>
        </w:tc>
        <w:tc>
          <w:tcPr>
            <w:tcW w:type="dxa" w:w="2880"/>
          </w:tcPr>
          <w:p>
            <w:r/>
            <w:r>
              <w:rPr>
                <w:rFonts w:ascii="Calibri" w:hAnsi="Calibri"/>
                <w:b/>
                <w:sz w:val="20"/>
              </w:rPr>
              <w:t>Signature / Date</w:t>
            </w:r>
          </w:p>
        </w:tc>
      </w:tr>
      <w:tr>
        <w:tc>
          <w:tcPr>
            <w:tcW w:type="dxa" w:w="2880"/>
          </w:tcPr>
          <w:p>
            <w:r>
              <w:rPr>
                <w:rFonts w:ascii="Calibri" w:hAnsi="Calibri"/>
                <w:sz w:val="20"/>
              </w:rPr>
              <w:t>President / CEO</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r>
        <w:tc>
          <w:tcPr>
            <w:tcW w:type="dxa" w:w="2880"/>
          </w:tcPr>
          <w:p>
            <w:r>
              <w:rPr>
                <w:rFonts w:ascii="Calibri" w:hAnsi="Calibri"/>
                <w:sz w:val="20"/>
              </w:rPr>
              <w:t>VP, Human Resources</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r>
        <w:tc>
          <w:tcPr>
            <w:tcW w:type="dxa" w:w="2880"/>
          </w:tcPr>
          <w:p>
            <w:r>
              <w:rPr>
                <w:rFonts w:ascii="Calibri" w:hAnsi="Calibri"/>
                <w:sz w:val="20"/>
              </w:rPr>
              <w:t>Legal Counsel</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bl>
    <w:p>
      <w:pPr>
        <w:pStyle w:val="Heading2"/>
      </w:pPr>
      <w:r>
        <w:t>Employee Acknowledgment</w:t>
      </w:r>
    </w:p>
    <w:p>
      <w:r>
        <w:t>I, ________________________ (print name), acknowledge that I have received, read, and understood this Responsible Alcohol Service Policy. I agree to comply with the requirements and standards set out in this policy as a condition of my employment with [COMPANY NAME].</w:t>
      </w:r>
    </w:p>
    <w:p/>
    <w:tbl>
      <w:tblPr>
        <w:tblW w:type="auto" w:w="0"/>
        <w:jc w:val="left"/>
        <w:tblLook w:firstColumn="1" w:firstRow="1" w:lastColumn="0" w:lastRow="0" w:noHBand="0" w:noVBand="1" w:val="04A0"/>
      </w:tblPr>
      <w:tblGrid>
        <w:gridCol w:w="4320"/>
        <w:gridCol w:w="4320"/>
      </w:tblGrid>
      <w:tr>
        <w:tc>
          <w:tcPr>
            <w:tcW w:type="dxa" w:w="4320"/>
          </w:tcPr>
          <w:p>
            <w:r>
              <w:rPr>
                <w:rFonts w:ascii="Calibri" w:hAnsi="Calibri"/>
                <w:sz w:val="20"/>
              </w:rPr>
              <w:t>Employee Signature: _________________________</w:t>
            </w:r>
          </w:p>
        </w:tc>
        <w:tc>
          <w:tcPr>
            <w:tcW w:type="dxa" w:w="4320"/>
          </w:tcPr>
          <w:p>
            <w:r>
              <w:rPr>
                <w:rFonts w:ascii="Calibri" w:hAnsi="Calibri"/>
                <w:sz w:val="20"/>
              </w:rPr>
              <w:t>Date: ________________________</w:t>
            </w:r>
          </w:p>
        </w:tc>
      </w:tr>
      <w:tr>
        <w:tc>
          <w:tcPr>
            <w:tcW w:type="dxa" w:w="4320"/>
          </w:tcPr>
          <w:p>
            <w:r>
              <w:rPr>
                <w:rFonts w:ascii="Calibri" w:hAnsi="Calibri"/>
                <w:sz w:val="20"/>
              </w:rPr>
              <w:t>Employee Name (Print): ______________________</w:t>
            </w:r>
          </w:p>
        </w:tc>
        <w:tc>
          <w:tcPr>
            <w:tcW w:type="dxa" w:w="4320"/>
          </w:tcPr>
          <w:p>
            <w:r>
              <w:rPr>
                <w:rFonts w:ascii="Calibri" w:hAnsi="Calibri"/>
                <w:sz w:val="20"/>
              </w:rPr>
              <w:t>Employee ID: _________________</w:t>
            </w:r>
          </w:p>
        </w:tc>
      </w:tr>
      <w:tr>
        <w:tc>
          <w:tcPr>
            <w:tcW w:type="dxa" w:w="4320"/>
          </w:tcPr>
          <w:p>
            <w:r>
              <w:rPr>
                <w:rFonts w:ascii="Calibri" w:hAnsi="Calibri"/>
                <w:sz w:val="20"/>
              </w:rPr>
              <w:t>Department: _________________________________</w:t>
            </w:r>
          </w:p>
        </w:tc>
        <w:tc>
          <w:tcPr>
            <w:tcW w:type="dxa" w:w="4320"/>
          </w:tcPr>
          <w:p>
            <w:r>
              <w:rPr>
                <w:rFonts w:ascii="Calibri" w:hAnsi="Calibri"/>
                <w:sz w:val="20"/>
              </w:rPr>
              <w:t>Position: ____________________</w:t>
            </w:r>
          </w:p>
        </w:tc>
      </w:tr>
    </w:tbl>
    <w:p/>
    <w:p/>
    <w:p>
      <w:pPr>
        <w:jc w:val="center"/>
      </w:pPr>
      <w:r>
        <w:rPr>
          <w:rFonts w:ascii="Calibri" w:hAnsi="Calibri"/>
          <w:color w:val="666666"/>
          <w:sz w:val="18"/>
        </w:rPr>
        <w:t>Prepared by [COMPANY NAME] | Responsible Alcohol Service Policy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