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Attendance and Punctuality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[POLICY-012]</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depends on employees reporting to work on time, as scheduled, and ready to perform their duties. Regular and reliable attendance is essential to the efficient operation of the business and to maintaining the service levels our clients and customers expect. This policy establishes expectations for attendance and punctuality, procedures for reporting absences, and the consequences of excessive or unexcused absenteeism.</w:t>
      </w:r>
    </w:p>
    <w:p>
      <w:pPr>
        <w:pStyle w:val="Heading2"/>
      </w:pPr>
      <w:r>
        <w:t>2. Scope</w:t>
      </w:r>
    </w:p>
    <w:p>
      <w:r>
        <w:t>This policy applies to all employees of [COMPANY NAME], including full-time, part-time, temporary, and contract workers, across all departments and locations.</w:t>
      </w:r>
    </w:p>
    <w:p>
      <w:pPr>
        <w:pStyle w:val="Heading2"/>
      </w:pPr>
      <w:r>
        <w:t>3. Expectations</w:t>
      </w:r>
    </w:p>
    <w:p>
      <w:r>
        <w:t>Employees are expected to:</w:t>
      </w:r>
    </w:p>
    <w:p>
      <w:pPr>
        <w:pStyle w:val="ListBullet"/>
      </w:pPr>
      <w:r>
        <w:t>Report to work at their scheduled start time, prepared to begin duties immediately;</w:t>
      </w:r>
    </w:p>
    <w:p>
      <w:pPr>
        <w:pStyle w:val="ListBullet"/>
      </w:pPr>
      <w:r>
        <w:t>Remain at work for their entire scheduled shift, except during authorized breaks;</w:t>
      </w:r>
    </w:p>
    <w:p>
      <w:pPr>
        <w:pStyle w:val="ListBullet"/>
      </w:pPr>
      <w:r>
        <w:t>Comply with departmental scheduling and shift requirements;</w:t>
      </w:r>
    </w:p>
    <w:p>
      <w:pPr>
        <w:pStyle w:val="ListBullet"/>
      </w:pPr>
      <w:r>
        <w:t>Minimize unscheduled absences by using planned leave in advance where possible.</w:t>
      </w:r>
    </w:p>
    <w:p>
      <w:pPr>
        <w:pStyle w:val="Heading2"/>
      </w:pPr>
      <w:r>
        <w:t>4. Notification Procedures for Absences</w:t>
      </w:r>
    </w:p>
    <w:p>
      <w:pPr>
        <w:pStyle w:val="Heading3"/>
      </w:pPr>
      <w:r>
        <w:t>4.1 Who to Contact</w:t>
      </w:r>
    </w:p>
    <w:p>
      <w:r>
        <w:t>Employees must notify their immediate supervisor or designated contact person directly. Leaving a voicemail, sending a text message, or notifying a co-worker is not sufficient unless expressly permitted by departmental procedures.</w:t>
      </w:r>
    </w:p>
    <w:p>
      <w:pPr>
        <w:pStyle w:val="Heading3"/>
      </w:pPr>
      <w:r>
        <w:t>4.2 When to Contact</w:t>
      </w:r>
    </w:p>
    <w:p>
      <w:r>
        <w:t>Notification must be provided as far in advance as possible, and no later than [INSERT TIME, e.g., 30 minutes] before the scheduled start of the employee's shift. For foreseeable absences (e.g., scheduled medical appointments), notification must be provided at least [INSERT TIME, e.g., 24 hours] in advance.</w:t>
      </w:r>
    </w:p>
    <w:p>
      <w:pPr>
        <w:pStyle w:val="Heading3"/>
      </w:pPr>
      <w:r>
        <w:t>4.3 What to Communicate</w:t>
      </w:r>
    </w:p>
    <w:p>
      <w:r>
        <w:t>When reporting an absence, the employee must provide:</w:t>
      </w:r>
    </w:p>
    <w:p>
      <w:pPr>
        <w:pStyle w:val="ListBullet"/>
      </w:pPr>
      <w:r>
        <w:t>The reason for the absence (general category, not detailed medical information);</w:t>
      </w:r>
    </w:p>
    <w:p>
      <w:pPr>
        <w:pStyle w:val="ListBullet"/>
      </w:pPr>
      <w:r>
        <w:t>The expected duration of the absence;</w:t>
      </w:r>
    </w:p>
    <w:p>
      <w:pPr>
        <w:pStyle w:val="ListBullet"/>
      </w:pPr>
      <w:r>
        <w:t>A method for reaching the employee during the absence, if appropriate.</w:t>
      </w:r>
    </w:p>
    <w:p>
      <w:pPr>
        <w:pStyle w:val="Heading2"/>
      </w:pPr>
      <w:r>
        <w:t>5. Tardiness</w:t>
      </w:r>
    </w:p>
    <w:p>
      <w:r>
        <w:t>Tardiness is defined as arriving at the work station later than the scheduled start time or returning late from authorized breaks. [COMPANY NAME] recognizes that occasional tardiness may occur due to circumstances beyond an employee's control (e.g., severe weather, transit disruption). However, a pattern of tardiness -- defined as [INSERT, e.g., three or more instances within a 30-day period] -- will be addressed through the progressive discipline process.</w:t>
      </w:r>
    </w:p>
    <w:p>
      <w:pPr>
        <w:pStyle w:val="Heading2"/>
      </w:pPr>
      <w:r>
        <w:t>6. Pattern of Absence</w:t>
      </w:r>
    </w:p>
    <w:p>
      <w:r>
        <w:t>[COMPANY NAME] may identify and address patterns of absence that, while individually explainable, collectively suggest misuse of leave entitlements. Examples of patterns include:</w:t>
      </w:r>
    </w:p>
    <w:p>
      <w:pPr>
        <w:pStyle w:val="ListBullet"/>
      </w:pPr>
      <w:r>
        <w:t>Absences consistently occurring on Mondays, Fridays, or adjacent to holidays or long weekends;</w:t>
      </w:r>
    </w:p>
    <w:p>
      <w:pPr>
        <w:pStyle w:val="ListBullet"/>
      </w:pPr>
      <w:r>
        <w:t>Absences following denied vacation or time-off requests;</w:t>
      </w:r>
    </w:p>
    <w:p>
      <w:pPr>
        <w:pStyle w:val="ListBullet"/>
      </w:pPr>
      <w:r>
        <w:t>Absences coinciding with sporting events, concerts, or other public events.</w:t>
      </w:r>
    </w:p>
    <w:p>
      <w:r>
        <w:t>Where a pattern is identified, the supervisor will meet with the employee to discuss the concern and provide an opportunity for the employee to explain. A legitimate explanation, including a protected leave, will be accepted and no adverse action will be taken.</w:t>
      </w:r>
    </w:p>
    <w:p>
      <w:pPr>
        <w:pStyle w:val="Heading2"/>
      </w:pPr>
      <w:r>
        <w:t>7. Documentation Requirements</w:t>
      </w:r>
    </w:p>
    <w:p>
      <w:r>
        <w:t>[COMPANY NAME] may require documentation to support an absence, including:</w:t>
      </w:r>
    </w:p>
    <w:p>
      <w:pPr>
        <w:pStyle w:val="ListBullet"/>
      </w:pPr>
      <w:r>
        <w:t>A medical note from a qualified healthcare practitioner for absences of three (3) or more consecutive days, or where a pattern of absence has been identified;</w:t>
      </w:r>
    </w:p>
    <w:p>
      <w:pPr>
        <w:pStyle w:val="ListBullet"/>
      </w:pPr>
      <w:r>
        <w:t>Documentation supporting emergency absences (e.g., police report for a vehicle accident, utility notice for a home emergency);</w:t>
      </w:r>
    </w:p>
    <w:p>
      <w:pPr>
        <w:pStyle w:val="ListBullet"/>
      </w:pPr>
      <w:r>
        <w:t>Any documentation required by applicable employment standards legislation for statutory leaves.</w:t>
      </w:r>
    </w:p>
    <w:p>
      <w:r>
        <w:t>Pursuant to privacy legislation and human rights principles, medical documentation should confirm the employee's absence from work and expected return date, but need not disclose the diagnosis or nature of the illness.</w:t>
      </w:r>
    </w:p>
    <w:p>
      <w:pPr>
        <w:pStyle w:val="Heading2"/>
      </w:pPr>
      <w:r>
        <w:t>8. Interaction with Leave Entitlements</w:t>
      </w:r>
    </w:p>
    <w:p>
      <w:r>
        <w:t>This policy does not override or limit any leave entitlements provided by applicable employment standards legislation, including but not limited to:</w:t>
      </w:r>
    </w:p>
    <w:p>
      <w:pPr>
        <w:pStyle w:val="ListBullet"/>
      </w:pPr>
      <w:r>
        <w:t>Sick leave and personal emergency leave under the Ontario Employment Standards Act, 2000 (S.O. 2000, c. 41) (ESA);</w:t>
      </w:r>
    </w:p>
    <w:p>
      <w:pPr>
        <w:pStyle w:val="ListBullet"/>
      </w:pPr>
      <w:r>
        <w:t>Family and Medical Leave under the U.S. Family and Medical Leave Act (FMLA) (29 U.S.C. sec. 2601 et seq.);</w:t>
      </w:r>
    </w:p>
    <w:p>
      <w:pPr>
        <w:pStyle w:val="ListBullet"/>
      </w:pPr>
      <w:r>
        <w:t>Leaves protected under the Canadian Labour Code (R.S.C. 1985, c. L-2), applicable provincial legislation, or [COMPANY NAME] policies (e.g., bereavement leave, parental leave, jury duty).</w:t>
      </w:r>
    </w:p>
    <w:p>
      <w:r>
        <w:t>Employees utilizing protected leave will not be subject to discipline for absences covered by such leave, provided they comply with applicable notification and documentation requirements.</w:t>
      </w:r>
    </w:p>
    <w:p>
      <w:pPr>
        <w:pStyle w:val="Heading2"/>
      </w:pPr>
      <w:r>
        <w:t>9. Emergency and Weather-Related Absences</w:t>
      </w:r>
    </w:p>
    <w:p>
      <w:r>
        <w:t>In the event of severe weather, natural disaster, or public emergency, [COMPANY NAME] may declare an office closure or authorize remote work. In such cases, absences will not be counted against the employee's attendance record. Where no such declaration has been made, employees are expected to make reasonable efforts to report to work and to communicate with their supervisor regarding any delays.</w:t>
      </w:r>
    </w:p>
    <w:p>
      <w:pPr>
        <w:pStyle w:val="Heading2"/>
      </w:pPr>
      <w:r>
        <w:t>10. No-Call, No-Show</w:t>
      </w:r>
    </w:p>
    <w:p>
      <w:r>
        <w:t>A no-call, no-show occurs when an employee fails to report to work and fails to notify their supervisor of the absence. A single no-call, no-show will be treated as a serious attendance infraction and may result in disciplinary action up to and including termination.</w:t>
      </w:r>
    </w:p>
    <w:p>
      <w:r>
        <w:rPr>
          <w:b/>
        </w:rPr>
        <w:t>Two (2) consecutive no-call, no-show days will be treated as a voluntary resignation (job abandonment) by the employee, unless the employee can demonstrate extenuating circumstances that prevented notification (e.g., hospitalization, incarceration, natural disaster).</w:t>
      </w:r>
    </w:p>
    <w:p>
      <w:pPr>
        <w:pStyle w:val="Heading2"/>
      </w:pPr>
      <w:r>
        <w:t>11. Progressive Discipline for Attendance Issues</w:t>
      </w:r>
    </w:p>
    <w:p>
      <w:r>
        <w:t>Attendance issues not related to protected leaves will be addressed through [COMPANY NAME]'s progressive discipline process:</w:t>
      </w:r>
    </w:p>
    <w:p>
      <w:pPr>
        <w:pStyle w:val="ListBullet"/>
      </w:pPr>
      <w:r>
        <w:rPr>
          <w:b/>
        </w:rPr>
        <w:t xml:space="preserve">Step 1: </w:t>
      </w:r>
      <w:r>
        <w:t>Verbal warning (documented in employee file);</w:t>
      </w:r>
    </w:p>
    <w:p>
      <w:pPr>
        <w:pStyle w:val="ListBullet"/>
      </w:pPr>
      <w:r>
        <w:rPr>
          <w:b/>
        </w:rPr>
        <w:t xml:space="preserve">Step 2: </w:t>
      </w:r>
      <w:r>
        <w:t>Written warning;</w:t>
      </w:r>
    </w:p>
    <w:p>
      <w:pPr>
        <w:pStyle w:val="ListBullet"/>
      </w:pPr>
      <w:r>
        <w:rPr>
          <w:b/>
        </w:rPr>
        <w:t xml:space="preserve">Step 3: </w:t>
      </w:r>
      <w:r>
        <w:t>Final written warning with performance improvement plan;</w:t>
      </w:r>
    </w:p>
    <w:p>
      <w:pPr>
        <w:pStyle w:val="ListBullet"/>
      </w:pPr>
      <w:r>
        <w:rPr>
          <w:b/>
        </w:rPr>
        <w:t xml:space="preserve">Step 4: </w:t>
      </w:r>
      <w:r>
        <w:t>Termination of employment.</w:t>
      </w:r>
    </w:p>
    <w:p>
      <w:r>
        <w:t>[COMPANY NAME] reserves the right to accelerate the disciplinary process in cases of egregious or willful violations.</w:t>
      </w:r>
    </w:p>
    <w:p>
      <w:pPr>
        <w:pStyle w:val="Heading2"/>
      </w:pPr>
      <w:r>
        <w:t>12. Accommodation for Disability-Related Absences</w:t>
      </w:r>
    </w:p>
    <w:p>
      <w:r>
        <w:t>[COMPANY NAME] recognizes its duty to accommodate employees whose absences are related to a disability, up to the point of undue hardship, in accordance with the Ontario Human Rights Code (R.S.O. 1990, c. H.19), the Canadian Human Rights Act (R.S.C. 1985, c. H-6), the Americans with Disabilities Act (42 U.S.C. sec. 12101 et seq.), and any other applicable human rights legislation. Employees requiring accommodation should contact Human Resources to initiate the interactive accommodation process.</w:t>
      </w:r>
    </w:p>
    <w:p>
      <w:pPr>
        <w:pStyle w:val="Heading2"/>
      </w:pPr>
      <w:r>
        <w:t>13. Policy Review</w:t>
      </w:r>
    </w:p>
    <w:p>
      <w:r>
        <w:t>This policy will be reviewed annually or as required by changes in applicable legislation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Attendance and Punctuality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