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A5C"/>
          <w:sz w:val="44"/>
        </w:rPr>
        <w:t>[COMPANY NAME]</w:t>
      </w:r>
    </w:p>
    <w:p>
      <w:pPr>
        <w:jc w:val="center"/>
      </w:pPr>
      <w:r>
        <w:rPr>
          <w:rFonts w:ascii="Calibri" w:hAnsi="Calibri"/>
          <w:i/>
          <w:color w:val="666666"/>
          <w:sz w:val="22"/>
        </w:rPr>
        <w:t>[UNIVERSAL] -- with PIPEDA and GDPR References</w:t>
      </w:r>
    </w:p>
    <w:p>
      <w:pPr>
        <w:pStyle w:val="Heading1"/>
      </w:pPr>
      <w:r>
        <w:t>Data Breach Response Policy</w:t>
      </w:r>
    </w:p>
    <w:p/>
    <w:tbl>
      <w:tblPr>
        <w:tblW w:type="auto" w:w="0"/>
        <w:tblLook w:firstColumn="1" w:firstRow="1" w:lastColumn="0" w:lastRow="0" w:noHBand="0" w:noVBand="1" w:val="04A0"/>
      </w:tblPr>
      <w:tblGrid>
        <w:gridCol w:w="4320"/>
        <w:gridCol w:w="4320"/>
      </w:tblGrid>
      <w:tr>
        <w:tc>
          <w:tcPr>
            <w:tcW w:type="dxa" w:w="4320"/>
          </w:tcPr>
          <w:p>
            <w:r/>
            <w:r>
              <w:rPr>
                <w:rFonts w:ascii="Calibri" w:hAnsi="Calibri"/>
                <w:sz w:val="20"/>
              </w:rPr>
              <w:t>Policy Number:</w:t>
            </w:r>
          </w:p>
        </w:tc>
        <w:tc>
          <w:tcPr>
            <w:tcW w:type="dxa" w:w="4320"/>
          </w:tcPr>
          <w:p>
            <w:r/>
            <w:r>
              <w:rPr>
                <w:rFonts w:ascii="Calibri" w:hAnsi="Calibri"/>
                <w:sz w:val="20"/>
              </w:rPr>
              <w:t>[POLICY-015]</w:t>
            </w:r>
          </w:p>
        </w:tc>
      </w:tr>
      <w:tr>
        <w:tc>
          <w:tcPr>
            <w:tcW w:type="dxa" w:w="4320"/>
          </w:tcPr>
          <w:p>
            <w:r/>
            <w:r>
              <w:rPr>
                <w:rFonts w:ascii="Calibri" w:hAnsi="Calibri"/>
                <w:sz w:val="20"/>
              </w:rPr>
              <w:t>Version:</w:t>
            </w:r>
          </w:p>
        </w:tc>
        <w:tc>
          <w:tcPr>
            <w:tcW w:type="dxa" w:w="4320"/>
          </w:tcPr>
          <w:p>
            <w:r/>
            <w:r>
              <w:rPr>
                <w:rFonts w:ascii="Calibri" w:hAnsi="Calibri"/>
                <w:sz w:val="20"/>
              </w:rPr>
              <w:t>1.0</w:t>
            </w:r>
          </w:p>
        </w:tc>
      </w:tr>
      <w:tr>
        <w:tc>
          <w:tcPr>
            <w:tcW w:type="dxa" w:w="4320"/>
          </w:tcPr>
          <w:p>
            <w:r/>
            <w:r>
              <w:rPr>
                <w:rFonts w:ascii="Calibri" w:hAnsi="Calibri"/>
                <w:sz w:val="20"/>
              </w:rPr>
              <w:t>Effective Date:</w:t>
            </w:r>
          </w:p>
        </w:tc>
        <w:tc>
          <w:tcPr>
            <w:tcW w:type="dxa" w:w="4320"/>
          </w:tcPr>
          <w:p>
            <w:r/>
            <w:r>
              <w:rPr>
                <w:rFonts w:ascii="Calibri" w:hAnsi="Calibri"/>
                <w:sz w:val="20"/>
              </w:rPr>
              <w:t>[EFFECTIVE DATE]</w:t>
            </w:r>
          </w:p>
        </w:tc>
      </w:tr>
      <w:tr>
        <w:tc>
          <w:tcPr>
            <w:tcW w:type="dxa" w:w="4320"/>
          </w:tcPr>
          <w:p>
            <w:r/>
            <w:r>
              <w:rPr>
                <w:rFonts w:ascii="Calibri" w:hAnsi="Calibri"/>
                <w:sz w:val="20"/>
              </w:rPr>
              <w:t>Review Date:</w:t>
            </w:r>
          </w:p>
        </w:tc>
        <w:tc>
          <w:tcPr>
            <w:tcW w:type="dxa" w:w="4320"/>
          </w:tcPr>
          <w:p>
            <w:r/>
            <w:r>
              <w:rPr>
                <w:rFonts w:ascii="Calibri" w:hAnsi="Calibri"/>
                <w:sz w:val="20"/>
              </w:rPr>
              <w:t>[REVIEW DATE]</w:t>
            </w:r>
          </w:p>
        </w:tc>
      </w:tr>
      <w:tr>
        <w:tc>
          <w:tcPr>
            <w:tcW w:type="dxa" w:w="4320"/>
          </w:tcPr>
          <w:p>
            <w:r/>
            <w:r>
              <w:rPr>
                <w:rFonts w:ascii="Calibri" w:hAnsi="Calibri"/>
                <w:sz w:val="20"/>
              </w:rPr>
              <w:t>Owner:</w:t>
            </w:r>
          </w:p>
        </w:tc>
        <w:tc>
          <w:tcPr>
            <w:tcW w:type="dxa" w:w="4320"/>
          </w:tcPr>
          <w:p>
            <w:r/>
            <w:r>
              <w:rPr>
                <w:rFonts w:ascii="Calibri" w:hAnsi="Calibri"/>
                <w:sz w:val="20"/>
              </w:rPr>
              <w:t>Human Resources</w:t>
            </w:r>
          </w:p>
        </w:tc>
      </w:tr>
    </w:tbl>
    <w:p>
      <w:pPr>
        <w:pStyle w:val="Heading2"/>
      </w:pPr>
      <w:r>
        <w:t>1. Purpose</w:t>
      </w:r>
    </w:p>
    <w:p>
      <w:r>
        <w:t>[COMPANY NAME] is committed to the protection of personal information entrusted to it by employees, clients, customers, and other stakeholders. This policy establishes the framework for identifying, containing, assessing, and responding to data breaches involving personal information, in compliance with applicable privacy legislation.</w:t>
      </w:r>
    </w:p>
    <w:p>
      <w:pPr>
        <w:pStyle w:val="Heading2"/>
      </w:pPr>
      <w:r>
        <w:t>2. Scope</w:t>
      </w:r>
    </w:p>
    <w:p>
      <w:r>
        <w:t>This policy applies to all employees, contractors, temporary workers, and agents of [COMPANY NAME] who have access to personal information held by the organization, regardless of format (electronic, paper, verbal). It covers all personal information in [COMPANY NAME]'s custody or control, including employee data, client data, vendor data, and any other category of personal information.</w:t>
      </w:r>
    </w:p>
    <w:p>
      <w:pPr>
        <w:pStyle w:val="Heading2"/>
      </w:pPr>
      <w:r>
        <w:t>3. Legal Framework</w:t>
      </w:r>
    </w:p>
    <w:p>
      <w:r>
        <w:t>[COMPANY NAME]'s breach response obligations arise from the following legislation (as applicable based on jurisdiction):</w:t>
      </w:r>
    </w:p>
    <w:p>
      <w:pPr>
        <w:pStyle w:val="ListBullet"/>
      </w:pPr>
      <w:r>
        <w:rPr>
          <w:b/>
        </w:rPr>
        <w:t xml:space="preserve">Canada (Federal): </w:t>
      </w:r>
      <w:r>
        <w:t>Personal Information Protection and Electronic Documents Act (PIPEDA, S.C. 2000, c. 5), Division 1.1 (Breach of Security Safeguards) -- mandatory breach notification to the Privacy Commissioner of Canada and affected individuals;</w:t>
      </w:r>
    </w:p>
    <w:p>
      <w:pPr>
        <w:pStyle w:val="ListBullet"/>
      </w:pPr>
      <w:r>
        <w:rPr>
          <w:b/>
        </w:rPr>
        <w:t xml:space="preserve">European Union: </w:t>
      </w:r>
      <w:r>
        <w:t>General Data Protection Regulation (EU) 2016/679 (GDPR), Articles 33 and 34 -- mandatory notification to the supervisory authority within 72 hours and to affected data subjects where there is a high risk to their rights and freedoms;</w:t>
      </w:r>
    </w:p>
    <w:p>
      <w:pPr>
        <w:pStyle w:val="ListBullet"/>
      </w:pPr>
      <w:r>
        <w:rPr>
          <w:b/>
        </w:rPr>
        <w:t xml:space="preserve">Provincial (Canada): </w:t>
      </w:r>
      <w:r>
        <w:t>Applicable provincial privacy legislation (e.g., Alberta PIPA, BC PIPA, Quebec Law 25);</w:t>
      </w:r>
    </w:p>
    <w:p>
      <w:pPr>
        <w:pStyle w:val="ListBullet"/>
      </w:pPr>
      <w:r>
        <w:rPr>
          <w:b/>
        </w:rPr>
        <w:t xml:space="preserve">United States: </w:t>
      </w:r>
      <w:r>
        <w:t>Applicable U.S. state data breach notification laws (varying by state).</w:t>
      </w:r>
    </w:p>
    <w:p>
      <w:pPr>
        <w:pStyle w:val="Heading2"/>
      </w:pPr>
      <w:r>
        <w:t>4. Definition of a Data Breach</w:t>
      </w:r>
    </w:p>
    <w:p>
      <w:r>
        <w:t>A data breach (referred to as a "breach of security safeguards" under PIPEDA) means the loss of, unauthorized access to, or unauthorized disclosure of personal information resulting from a breach of an organization's security safeguards, or from a failure to establish those safeguards. This includes:</w:t>
      </w:r>
    </w:p>
    <w:p>
      <w:pPr>
        <w:pStyle w:val="ListBullet"/>
      </w:pPr>
      <w:r>
        <w:t>Unauthorized access to systems, databases, or files containing personal information;</w:t>
      </w:r>
    </w:p>
    <w:p>
      <w:pPr>
        <w:pStyle w:val="ListBullet"/>
      </w:pPr>
      <w:r>
        <w:t>Accidental disclosure of personal information to an unintended recipient (e.g., misdirected email, fax, or mail);</w:t>
      </w:r>
    </w:p>
    <w:p>
      <w:pPr>
        <w:pStyle w:val="ListBullet"/>
      </w:pPr>
      <w:r>
        <w:t>Loss or theft of devices, documents, or media containing personal information;</w:t>
      </w:r>
    </w:p>
    <w:p>
      <w:pPr>
        <w:pStyle w:val="ListBullet"/>
      </w:pPr>
      <w:r>
        <w:t>Ransomware or malware that compromises the confidentiality or availability of personal information;</w:t>
      </w:r>
    </w:p>
    <w:p>
      <w:pPr>
        <w:pStyle w:val="ListBullet"/>
      </w:pPr>
      <w:r>
        <w:t>Employee snooping or unauthorized access to records beyond the scope of their role;</w:t>
      </w:r>
    </w:p>
    <w:p>
      <w:pPr>
        <w:pStyle w:val="ListBullet"/>
      </w:pPr>
      <w:r>
        <w:t>Physical break-in resulting in potential access to personal information.</w:t>
      </w:r>
    </w:p>
    <w:p>
      <w:pPr>
        <w:pStyle w:val="Heading2"/>
      </w:pPr>
      <w:r>
        <w:t>5. Roles and Responsibilities</w:t>
      </w:r>
    </w:p>
    <w:p>
      <w:pPr>
        <w:pStyle w:val="ListBullet"/>
      </w:pPr>
      <w:r>
        <w:rPr>
          <w:b/>
        </w:rPr>
        <w:t xml:space="preserve">Privacy Officer: </w:t>
      </w:r>
      <w:r>
        <w:t>Oversees the breach response process, makes notification determinations, and serves as the primary contact for the Privacy Commissioner.</w:t>
      </w:r>
    </w:p>
    <w:p>
      <w:pPr>
        <w:pStyle w:val="ListBullet"/>
      </w:pPr>
      <w:r>
        <w:rPr>
          <w:b/>
        </w:rPr>
        <w:t xml:space="preserve">IT / Information Security: </w:t>
      </w:r>
      <w:r>
        <w:t>Leads technical containment, forensic investigation, and system remediation.</w:t>
      </w:r>
    </w:p>
    <w:p>
      <w:pPr>
        <w:pStyle w:val="ListBullet"/>
      </w:pPr>
      <w:r>
        <w:rPr>
          <w:b/>
        </w:rPr>
        <w:t xml:space="preserve">Human Resources: </w:t>
      </w:r>
      <w:r>
        <w:t>Manages employee-related breaches, internal communications, and coordinates with affected staff.</w:t>
      </w:r>
    </w:p>
    <w:p>
      <w:pPr>
        <w:pStyle w:val="ListBullet"/>
      </w:pPr>
      <w:r>
        <w:rPr>
          <w:b/>
        </w:rPr>
        <w:t xml:space="preserve">Legal Counsel: </w:t>
      </w:r>
      <w:r>
        <w:t>Provides guidance on legal obligations, notification requirements, and potential liability.</w:t>
      </w:r>
    </w:p>
    <w:p>
      <w:pPr>
        <w:pStyle w:val="ListBullet"/>
      </w:pPr>
      <w:r>
        <w:rPr>
          <w:b/>
        </w:rPr>
        <w:t xml:space="preserve">All Employees: </w:t>
      </w:r>
      <w:r>
        <w:t>All employees are responsible for promptly reporting suspected or confirmed breaches.</w:t>
      </w:r>
    </w:p>
    <w:p>
      <w:pPr>
        <w:pStyle w:val="Heading2"/>
      </w:pPr>
      <w:r>
        <w:t>6. Breach Detection and Reporting</w:t>
      </w:r>
    </w:p>
    <w:p>
      <w:r>
        <w:t>All employees must immediately report any suspected or confirmed data breach to their supervisor and the Privacy Officer (or, in their absence, to IT or Human Resources). Reports should include:</w:t>
      </w:r>
    </w:p>
    <w:p>
      <w:pPr>
        <w:pStyle w:val="ListBullet"/>
      </w:pPr>
      <w:r>
        <w:t>Date and time the breach was discovered;</w:t>
      </w:r>
    </w:p>
    <w:p>
      <w:pPr>
        <w:pStyle w:val="ListBullet"/>
      </w:pPr>
      <w:r>
        <w:t>Nature of the personal information involved;</w:t>
      </w:r>
    </w:p>
    <w:p>
      <w:pPr>
        <w:pStyle w:val="ListBullet"/>
      </w:pPr>
      <w:r>
        <w:t>How the breach was discovered;</w:t>
      </w:r>
    </w:p>
    <w:p>
      <w:pPr>
        <w:pStyle w:val="ListBullet"/>
      </w:pPr>
      <w:r>
        <w:t>Estimated number of individuals affected;</w:t>
      </w:r>
    </w:p>
    <w:p>
      <w:pPr>
        <w:pStyle w:val="ListBullet"/>
      </w:pPr>
      <w:r>
        <w:t>Any immediate actions taken to contain the breach.</w:t>
      </w:r>
    </w:p>
    <w:p>
      <w:pPr>
        <w:pStyle w:val="Heading2"/>
      </w:pPr>
      <w:r>
        <w:t>7. Immediate Containment</w:t>
      </w:r>
    </w:p>
    <w:p>
      <w:r>
        <w:t>Upon receiving a breach report, [COMPANY NAME] will take immediate steps to contain the breach, including:</w:t>
      </w:r>
    </w:p>
    <w:p>
      <w:pPr>
        <w:pStyle w:val="ListBullet"/>
      </w:pPr>
      <w:r>
        <w:t>Isolating affected systems or networks to prevent further unauthorized access;</w:t>
      </w:r>
    </w:p>
    <w:p>
      <w:pPr>
        <w:pStyle w:val="ListBullet"/>
      </w:pPr>
      <w:r>
        <w:t>Revoking compromised credentials and changing passwords;</w:t>
      </w:r>
    </w:p>
    <w:p>
      <w:pPr>
        <w:pStyle w:val="ListBullet"/>
      </w:pPr>
      <w:r>
        <w:t>Recovering lost or stolen devices or documents, where possible;</w:t>
      </w:r>
    </w:p>
    <w:p>
      <w:pPr>
        <w:pStyle w:val="ListBullet"/>
      </w:pPr>
      <w:r>
        <w:t>Preserving evidence for investigation (do not delete logs, emails, or files);</w:t>
      </w:r>
    </w:p>
    <w:p>
      <w:pPr>
        <w:pStyle w:val="ListBullet"/>
      </w:pPr>
      <w:r>
        <w:t>Engaging external forensic or cybersecurity experts, if necessary.</w:t>
      </w:r>
    </w:p>
    <w:p>
      <w:pPr>
        <w:pStyle w:val="Heading2"/>
      </w:pPr>
      <w:r>
        <w:t>8. Risk Assessment</w:t>
      </w:r>
    </w:p>
    <w:p>
      <w:r>
        <w:t>Following containment, the Privacy Officer will conduct a risk assessment to determine whether the breach creates a "real risk of significant harm" (RROSH) to any affected individual, as required by PIPEDA s. 10.1(1). The assessment will consider:</w:t>
      </w:r>
    </w:p>
    <w:p>
      <w:pPr>
        <w:pStyle w:val="ListBullet"/>
      </w:pPr>
      <w:r>
        <w:t>The sensitivity of the personal information involved (e.g., financial data, health information, SINs);</w:t>
      </w:r>
    </w:p>
    <w:p>
      <w:pPr>
        <w:pStyle w:val="ListBullet"/>
      </w:pPr>
      <w:r>
        <w:t>The probability that the personal information has been, is being, or will be misused;</w:t>
      </w:r>
    </w:p>
    <w:p>
      <w:pPr>
        <w:pStyle w:val="ListBullet"/>
      </w:pPr>
      <w:r>
        <w:t>The number of individuals affected;</w:t>
      </w:r>
    </w:p>
    <w:p>
      <w:pPr>
        <w:pStyle w:val="ListBullet"/>
      </w:pPr>
      <w:r>
        <w:t>Whether the information was encrypted or otherwise protected;</w:t>
      </w:r>
    </w:p>
    <w:p>
      <w:pPr>
        <w:pStyle w:val="ListBullet"/>
      </w:pPr>
      <w:r>
        <w:t>The identity of the person(s) who accessed the information (if known);</w:t>
      </w:r>
    </w:p>
    <w:p>
      <w:pPr>
        <w:pStyle w:val="ListBullet"/>
      </w:pPr>
      <w:r>
        <w:t>The cause and extent of the breach.</w:t>
      </w:r>
    </w:p>
    <w:p>
      <w:pPr>
        <w:pStyle w:val="Heading2"/>
      </w:pPr>
      <w:r>
        <w:t>9. Notification Obligations</w:t>
      </w:r>
    </w:p>
    <w:p>
      <w:pPr>
        <w:pStyle w:val="Heading3"/>
      </w:pPr>
      <w:r>
        <w:t>9.1 Notification to the Privacy Commissioner of Canada (PIPEDA)</w:t>
      </w:r>
    </w:p>
    <w:p>
      <w:r>
        <w:t>Where the risk assessment determines that the breach creates a real risk of significant harm, [COMPANY NAME] must report the breach to the Office of the Privacy Commissioner of Canada (OPC) as soon as feasible. The report must include the information prescribed by PIPEDA s. 10.1(2) and the Breach of Security Safeguards Regulations (SOR/2018-64).</w:t>
      </w:r>
    </w:p>
    <w:p>
      <w:pPr>
        <w:pStyle w:val="Heading3"/>
      </w:pPr>
      <w:r>
        <w:t>9.2 Notification to Affected Individuals</w:t>
      </w:r>
    </w:p>
    <w:p>
      <w:r>
        <w:t>Where notification to the OPC is required, [COMPANY NAME] must also notify affected individuals as soon as feasible. Notification must be direct (email, letter, phone call) and must include:</w:t>
      </w:r>
    </w:p>
    <w:p>
      <w:pPr>
        <w:pStyle w:val="ListBullet"/>
      </w:pPr>
      <w:r>
        <w:t>A description of the breach;</w:t>
      </w:r>
    </w:p>
    <w:p>
      <w:pPr>
        <w:pStyle w:val="ListBullet"/>
      </w:pPr>
      <w:r>
        <w:t>The nature of the personal information involved;</w:t>
      </w:r>
    </w:p>
    <w:p>
      <w:pPr>
        <w:pStyle w:val="ListBullet"/>
      </w:pPr>
      <w:r>
        <w:t>Steps [COMPANY NAME] has taken or intends to take to reduce the risk of harm;</w:t>
      </w:r>
    </w:p>
    <w:p>
      <w:pPr>
        <w:pStyle w:val="ListBullet"/>
      </w:pPr>
      <w:r>
        <w:t>Steps the individual can take to reduce their risk (e.g., monitoring credit reports, changing passwords);</w:t>
      </w:r>
    </w:p>
    <w:p>
      <w:pPr>
        <w:pStyle w:val="ListBullet"/>
      </w:pPr>
      <w:r>
        <w:t>Contact information for the Privacy Officer for further questions.</w:t>
      </w:r>
    </w:p>
    <w:p>
      <w:pPr>
        <w:pStyle w:val="Heading3"/>
      </w:pPr>
      <w:r>
        <w:t>9.3 GDPR Notification (if applicable)</w:t>
      </w:r>
    </w:p>
    <w:p>
      <w:r>
        <w:t>Where [COMPANY NAME] processes personal data of individuals in the European Economic Area, the GDPR requires notification to the relevant supervisory authority within 72 hours of becoming aware of a breach (Article 33). Where the breach is likely to result in a high risk to the rights and freedoms of data subjects, those individuals must also be notified without undue delay (Article 34).</w:t>
      </w:r>
    </w:p>
    <w:p>
      <w:pPr>
        <w:pStyle w:val="Heading2"/>
      </w:pPr>
      <w:r>
        <w:t>10. Breach Record-Keeping</w:t>
      </w:r>
    </w:p>
    <w:p>
      <w:r>
        <w:t>[COMPANY NAME] must maintain a record of every breach of security safeguards, regardless of whether notification was required. In accordance with PIPEDA s. 10.3, these records must be retained for at least twenty-four (24) months from the date the breach was determined to have occurred, and must be made available to the OPC upon request.</w:t>
      </w:r>
    </w:p>
    <w:p>
      <w:pPr>
        <w:pStyle w:val="Heading2"/>
      </w:pPr>
      <w:r>
        <w:t>11. Root Cause Analysis and Prevention</w:t>
      </w:r>
    </w:p>
    <w:p>
      <w:r>
        <w:t>Following the resolution of a breach, [COMPANY NAME] will conduct a root cause analysis to identify systemic weaknesses and implement preventive measures, including:</w:t>
      </w:r>
    </w:p>
    <w:p>
      <w:pPr>
        <w:pStyle w:val="ListBullet"/>
      </w:pPr>
      <w:r>
        <w:t>Updating technical safeguards (encryption, access controls, monitoring);</w:t>
      </w:r>
    </w:p>
    <w:p>
      <w:pPr>
        <w:pStyle w:val="ListBullet"/>
      </w:pPr>
      <w:r>
        <w:t>Revising policies and procedures to address identified gaps;</w:t>
      </w:r>
    </w:p>
    <w:p>
      <w:pPr>
        <w:pStyle w:val="ListBullet"/>
      </w:pPr>
      <w:r>
        <w:t>Providing additional training to employees on data handling and breach recognition;</w:t>
      </w:r>
    </w:p>
    <w:p>
      <w:pPr>
        <w:pStyle w:val="ListBullet"/>
      </w:pPr>
      <w:r>
        <w:t>Engaging third-party auditors for independent security assessments, if warranted.</w:t>
      </w:r>
    </w:p>
    <w:p>
      <w:pPr>
        <w:pStyle w:val="Heading2"/>
      </w:pPr>
      <w:r>
        <w:t>12. Employee Training</w:t>
      </w:r>
    </w:p>
    <w:p>
      <w:r>
        <w:t>All employees will receive training on data breach recognition and reporting during onboarding and at least annually thereafter. Training will cover:</w:t>
      </w:r>
    </w:p>
    <w:p>
      <w:pPr>
        <w:pStyle w:val="ListBullet"/>
      </w:pPr>
      <w:r>
        <w:t>How to identify a potential data breach;</w:t>
      </w:r>
    </w:p>
    <w:p>
      <w:pPr>
        <w:pStyle w:val="ListBullet"/>
      </w:pPr>
      <w:r>
        <w:t>Reporting procedures and contact information;</w:t>
      </w:r>
    </w:p>
    <w:p>
      <w:pPr>
        <w:pStyle w:val="ListBullet"/>
      </w:pPr>
      <w:r>
        <w:t>Employee responsibilities under this policy;</w:t>
      </w:r>
    </w:p>
    <w:p>
      <w:pPr>
        <w:pStyle w:val="ListBullet"/>
      </w:pPr>
      <w:r>
        <w:t>Common breach scenarios (phishing, misdirected communications, lost devices).</w:t>
      </w:r>
    </w:p>
    <w:p>
      <w:pPr>
        <w:pStyle w:val="Heading2"/>
      </w:pPr>
      <w:r>
        <w:t>13. Non-Compliance</w:t>
      </w:r>
    </w:p>
    <w:p>
      <w:r>
        <w:t>Employees who fail to report a known or suspected breach, or who are found to have caused a breach through willful misconduct or gross negligence, may be subject to disciplinary action up to and including termination of employment, and may face personal liability under applicable privacy legislation.</w:t>
      </w:r>
    </w:p>
    <w:p>
      <w:pPr>
        <w:pStyle w:val="Heading2"/>
      </w:pPr>
      <w:r>
        <w:t>14. Policy Review</w:t>
      </w:r>
    </w:p>
    <w:p>
      <w:r>
        <w:t>This policy will be reviewed annually or as required by changes in applicable privacy legislation, regulatory guidance, or organizational needs.</w:t>
      </w:r>
    </w:p>
    <w:p>
      <w:pPr>
        <w:pStyle w:val="Heading2"/>
      </w:pPr>
      <w:r>
        <w:t>Approval</w:t>
      </w:r>
    </w:p>
    <w:tbl>
      <w:tblPr>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0"/>
              </w:rPr>
              <w:t>Role</w:t>
            </w:r>
          </w:p>
        </w:tc>
        <w:tc>
          <w:tcPr>
            <w:tcW w:type="dxa" w:w="2880"/>
          </w:tcPr>
          <w:p>
            <w:r/>
            <w:r>
              <w:rPr>
                <w:rFonts w:ascii="Calibri" w:hAnsi="Calibri"/>
                <w:b/>
                <w:sz w:val="20"/>
              </w:rPr>
              <w:t>Name</w:t>
            </w:r>
          </w:p>
        </w:tc>
        <w:tc>
          <w:tcPr>
            <w:tcW w:type="dxa" w:w="2880"/>
          </w:tcPr>
          <w:p>
            <w:r/>
            <w:r>
              <w:rPr>
                <w:rFonts w:ascii="Calibri" w:hAnsi="Calibri"/>
                <w:b/>
                <w:sz w:val="20"/>
              </w:rPr>
              <w:t>Signature / Date</w:t>
            </w:r>
          </w:p>
        </w:tc>
      </w:tr>
      <w:tr>
        <w:tc>
          <w:tcPr>
            <w:tcW w:type="dxa" w:w="2880"/>
          </w:tcPr>
          <w:p>
            <w:r>
              <w:t>President / CEO</w:t>
            </w:r>
          </w:p>
        </w:tc>
        <w:tc>
          <w:tcPr>
            <w:tcW w:type="dxa" w:w="2880"/>
          </w:tcPr>
          <w:p>
            <w:r>
              <w:t>________________________</w:t>
            </w:r>
          </w:p>
        </w:tc>
        <w:tc>
          <w:tcPr>
            <w:tcW w:type="dxa" w:w="2880"/>
          </w:tcPr>
          <w:p>
            <w:r>
              <w:t>________________________</w:t>
            </w:r>
          </w:p>
        </w:tc>
      </w:tr>
      <w:tr>
        <w:tc>
          <w:tcPr>
            <w:tcW w:type="dxa" w:w="2880"/>
          </w:tcPr>
          <w:p>
            <w:r>
              <w:t>VP, Human Resources</w:t>
            </w:r>
          </w:p>
        </w:tc>
        <w:tc>
          <w:tcPr>
            <w:tcW w:type="dxa" w:w="2880"/>
          </w:tcPr>
          <w:p>
            <w:r>
              <w:t>________________________</w:t>
            </w:r>
          </w:p>
        </w:tc>
        <w:tc>
          <w:tcPr>
            <w:tcW w:type="dxa" w:w="2880"/>
          </w:tcPr>
          <w:p>
            <w:r>
              <w:t>________________________</w:t>
            </w:r>
          </w:p>
        </w:tc>
      </w:tr>
      <w:tr>
        <w:tc>
          <w:tcPr>
            <w:tcW w:type="dxa" w:w="2880"/>
          </w:tcPr>
          <w:p>
            <w:r>
              <w:t>Legal Counsel</w:t>
            </w:r>
          </w:p>
        </w:tc>
        <w:tc>
          <w:tcPr>
            <w:tcW w:type="dxa" w:w="2880"/>
          </w:tcPr>
          <w:p>
            <w:r>
              <w:t>________________________</w:t>
            </w:r>
          </w:p>
        </w:tc>
        <w:tc>
          <w:tcPr>
            <w:tcW w:type="dxa" w:w="2880"/>
          </w:tcPr>
          <w:p>
            <w:r>
              <w:t>________________________</w:t>
            </w:r>
          </w:p>
        </w:tc>
      </w:tr>
    </w:tbl>
    <w:p>
      <w:pPr>
        <w:pStyle w:val="Heading2"/>
      </w:pPr>
      <w:r>
        <w:t>Employee Acknowledgment</w:t>
      </w:r>
    </w:p>
    <w:p>
      <w:r>
        <w:t>I, ________________________ (print name), acknowledge that I have received, read, and understood this policy. I agree to comply with its terms and conditions as a condition of my employment with [COMPANY NAME].</w:t>
      </w:r>
    </w:p>
    <w:p/>
    <w:tbl>
      <w:tblPr>
        <w:tblW w:type="auto" w:w="0"/>
        <w:tblLook w:firstColumn="1" w:firstRow="1" w:lastColumn="0" w:lastRow="0" w:noHBand="0" w:noVBand="1" w:val="04A0"/>
      </w:tblPr>
      <w:tblGrid>
        <w:gridCol w:w="4320"/>
        <w:gridCol w:w="4320"/>
      </w:tblGrid>
      <w:tr>
        <w:tc>
          <w:tcPr>
            <w:tcW w:type="dxa" w:w="4320"/>
          </w:tcPr>
          <w:p>
            <w:r>
              <w:t>Employee Signature: ________________________</w:t>
            </w:r>
          </w:p>
        </w:tc>
        <w:tc>
          <w:tcPr>
            <w:tcW w:type="dxa" w:w="4320"/>
          </w:tcPr>
          <w:p>
            <w:r>
              <w:t>Date: ________________________</w:t>
            </w:r>
          </w:p>
        </w:tc>
      </w:tr>
      <w:tr>
        <w:tc>
          <w:tcPr>
            <w:tcW w:type="dxa" w:w="4320"/>
          </w:tcPr>
          <w:p>
            <w:r>
              <w:t>Employee Name (Print): ________________________</w:t>
            </w:r>
          </w:p>
        </w:tc>
        <w:tc>
          <w:tcPr>
            <w:tcW w:type="dxa" w:w="4320"/>
          </w:tcPr>
          <w:p>
            <w:r>
              <w:t>Employee ID: ________________________</w:t>
            </w:r>
          </w:p>
        </w:tc>
      </w:tr>
      <w:tr>
        <w:tc>
          <w:tcPr>
            <w:tcW w:type="dxa" w:w="4320"/>
          </w:tcPr>
          <w:p>
            <w:r>
              <w:t>Department: ________________________</w:t>
            </w:r>
          </w:p>
        </w:tc>
        <w:tc>
          <w:tcPr>
            <w:tcW w:type="dxa" w:w="4320"/>
          </w:tcPr>
          <w:p>
            <w:r>
              <w:t>Position: ________________________</w:t>
            </w:r>
          </w:p>
        </w:tc>
      </w:tr>
    </w:tbl>
    <w:p/>
    <w:p/>
    <w:p>
      <w:pPr>
        <w:jc w:val="center"/>
      </w:pPr>
      <w:r>
        <w:rPr>
          <w:i/>
          <w:color w:val="999999"/>
          <w:sz w:val="16"/>
        </w:rPr>
        <w:t>Prepared by [COMPANY NAME] | Data Breach Response Policy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