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b/>
          <w:color w:val="1A3A5C"/>
          <w:sz w:val="44"/>
        </w:rPr>
        <w:t>[COMPANY NAME]</w:t>
      </w:r>
    </w:p>
    <w:p>
      <w:r>
        <w:rPr>
          <w:rFonts w:ascii="Calibri" w:hAnsi="Calibri"/>
          <w:color w:val="666666"/>
          <w:sz w:val="22"/>
        </w:rPr>
        <w:t>[HOSPITALITY] -- [PIPEDA] -- [PCI DSS]</w:t>
      </w:r>
    </w:p>
    <w:p>
      <w:pPr>
        <w:pStyle w:val="Heading1"/>
      </w:pPr>
      <w:r>
        <w:t>Guest Privacy &amp; Data Protection Policy</w:t>
      </w:r>
    </w:p>
    <w:tbl>
      <w:tblPr>
        <w:tblW w:type="auto" w:w="0"/>
        <w:jc w:val="left"/>
        <w:tblLook w:firstColumn="1" w:firstRow="1" w:lastColumn="0" w:lastRow="0" w:noHBand="0" w:noVBand="1" w:val="04A0"/>
      </w:tblPr>
      <w:tblGrid>
        <w:gridCol w:w="4320"/>
        <w:gridCol w:w="4320"/>
      </w:tblGrid>
      <w:tr>
        <w:tc>
          <w:tcPr>
            <w:tcW w:type="dxa" w:w="4320"/>
          </w:tcPr>
          <w:p>
            <w:r/>
            <w:r>
              <w:rPr>
                <w:rFonts w:ascii="Calibri" w:hAnsi="Calibri"/>
                <w:b/>
                <w:sz w:val="20"/>
              </w:rPr>
              <w:t>Policy Number:</w:t>
            </w:r>
          </w:p>
        </w:tc>
        <w:tc>
          <w:tcPr>
            <w:tcW w:type="dxa" w:w="4320"/>
          </w:tcPr>
          <w:p>
            <w:r/>
            <w:r>
              <w:rPr>
                <w:rFonts w:ascii="Calibri" w:hAnsi="Calibri"/>
                <w:sz w:val="20"/>
              </w:rPr>
              <w:t>[POLICY-035]</w:t>
            </w:r>
          </w:p>
        </w:tc>
      </w:tr>
      <w:tr>
        <w:tc>
          <w:tcPr>
            <w:tcW w:type="dxa" w:w="4320"/>
          </w:tcPr>
          <w:p>
            <w:r/>
            <w:r>
              <w:rPr>
                <w:rFonts w:ascii="Calibri" w:hAnsi="Calibri"/>
                <w:b/>
                <w:sz w:val="20"/>
              </w:rPr>
              <w:t>Version:</w:t>
            </w:r>
          </w:p>
        </w:tc>
        <w:tc>
          <w:tcPr>
            <w:tcW w:type="dxa" w:w="4320"/>
          </w:tcPr>
          <w:p>
            <w:r/>
            <w:r>
              <w:rPr>
                <w:rFonts w:ascii="Calibri" w:hAnsi="Calibri"/>
                <w:sz w:val="20"/>
              </w:rPr>
              <w:t>[1.0]</w:t>
            </w:r>
          </w:p>
        </w:tc>
      </w:tr>
      <w:tr>
        <w:tc>
          <w:tcPr>
            <w:tcW w:type="dxa" w:w="4320"/>
          </w:tcPr>
          <w:p>
            <w:r/>
            <w:r>
              <w:rPr>
                <w:rFonts w:ascii="Calibri" w:hAnsi="Calibri"/>
                <w:b/>
                <w:sz w:val="20"/>
              </w:rPr>
              <w:t>Effective Date:</w:t>
            </w:r>
          </w:p>
        </w:tc>
        <w:tc>
          <w:tcPr>
            <w:tcW w:type="dxa" w:w="4320"/>
          </w:tcPr>
          <w:p>
            <w:r/>
            <w:r>
              <w:rPr>
                <w:rFonts w:ascii="Calibri" w:hAnsi="Calibri"/>
                <w:sz w:val="20"/>
              </w:rPr>
              <w:t>[EFFECTIVE DATE]</w:t>
            </w:r>
          </w:p>
        </w:tc>
      </w:tr>
      <w:tr>
        <w:tc>
          <w:tcPr>
            <w:tcW w:type="dxa" w:w="4320"/>
          </w:tcPr>
          <w:p>
            <w:r/>
            <w:r>
              <w:rPr>
                <w:rFonts w:ascii="Calibri" w:hAnsi="Calibri"/>
                <w:b/>
                <w:sz w:val="20"/>
              </w:rPr>
              <w:t>Last Reviewed:</w:t>
            </w:r>
          </w:p>
        </w:tc>
        <w:tc>
          <w:tcPr>
            <w:tcW w:type="dxa" w:w="4320"/>
          </w:tcPr>
          <w:p>
            <w:r/>
            <w:r>
              <w:rPr>
                <w:rFonts w:ascii="Calibri" w:hAnsi="Calibri"/>
                <w:sz w:val="20"/>
              </w:rPr>
              <w:t>[REVIEW DATE]</w:t>
            </w:r>
          </w:p>
        </w:tc>
      </w:tr>
      <w:tr>
        <w:tc>
          <w:tcPr>
            <w:tcW w:type="dxa" w:w="4320"/>
          </w:tcPr>
          <w:p>
            <w:r/>
            <w:r>
              <w:rPr>
                <w:rFonts w:ascii="Calibri" w:hAnsi="Calibri"/>
                <w:b/>
                <w:sz w:val="20"/>
              </w:rPr>
              <w:t>Policy Owner:</w:t>
            </w:r>
          </w:p>
        </w:tc>
        <w:tc>
          <w:tcPr>
            <w:tcW w:type="dxa" w:w="4320"/>
          </w:tcPr>
          <w:p>
            <w:r/>
            <w:r>
              <w:rPr>
                <w:rFonts w:ascii="Calibri" w:hAnsi="Calibri"/>
                <w:sz w:val="20"/>
              </w:rPr>
              <w:t>General Manager / Privacy Officer / VP, Human Resources</w:t>
            </w:r>
          </w:p>
        </w:tc>
      </w:tr>
    </w:tbl>
    <w:p/>
    <w:p>
      <w:pPr>
        <w:pStyle w:val="Heading2"/>
      </w:pPr>
      <w:r>
        <w:t>1. Purpose</w:t>
      </w:r>
    </w:p>
    <w:p>
      <w:r>
        <w:t>[COMPANY NAME] is committed to protecting the personal information and privacy of our guests. Trust is the foundation of the hospitality relationship, and guests must be confident that their personal information is collected, used, and protected responsibly. This policy establishes the requirements for guest data collection, use, storage, disclosure, and protection in compliance with the Personal Information Protection and Electronic Documents Act (PIPEDA) and the Payment Card Industry Data Security Standard (PCI DSS).</w:t>
      </w:r>
    </w:p>
    <w:p>
      <w:pPr>
        <w:pStyle w:val="Heading2"/>
      </w:pPr>
      <w:r>
        <w:t>2. Scope</w:t>
      </w:r>
    </w:p>
    <w:p>
      <w:r>
        <w:t>This policy applies to all employees, contractors, and third-party service providers who collect, access, use, store, or disclose guest personal information at any [COMPANY NAME] location or through any [COMPANY NAME] digital platform (website, mobile app, booking engine, loyalty program).</w:t>
      </w:r>
    </w:p>
    <w:p>
      <w:pPr>
        <w:pStyle w:val="Heading2"/>
      </w:pPr>
      <w:r>
        <w:t>3. Guest Information Collected</w:t>
      </w:r>
    </w:p>
    <w:p>
      <w:r>
        <w:t>[COMPANY NAME] may collect the following categories of guest information in the course of providing hospitality services:</w:t>
      </w:r>
    </w:p>
    <w:p>
      <w:pPr>
        <w:pStyle w:val="ListBullet"/>
      </w:pPr>
      <w:r>
        <w:t>Identification: Name, date of birth (where required by law), nationality, passport or government-issued ID number (for hotel registration as required by provincial hotel registration regulations);</w:t>
      </w:r>
    </w:p>
    <w:p>
      <w:pPr>
        <w:pStyle w:val="ListBullet"/>
      </w:pPr>
      <w:r>
        <w:t>Contact information: Address, phone number, email address;</w:t>
      </w:r>
    </w:p>
    <w:p>
      <w:pPr>
        <w:pStyle w:val="ListBullet"/>
      </w:pPr>
      <w:r>
        <w:t>Payment information: Credit card number, debit card number, billing address;</w:t>
      </w:r>
    </w:p>
    <w:p>
      <w:pPr>
        <w:pStyle w:val="ListBullet"/>
      </w:pPr>
      <w:r>
        <w:t>Reservation details: Dates of stay, room type, number of guests, special requests;</w:t>
      </w:r>
    </w:p>
    <w:p>
      <w:pPr>
        <w:pStyle w:val="ListBullet"/>
      </w:pPr>
      <w:r>
        <w:t>Preferences and loyalty data: Dietary preferences, room preferences (pillow type, temperature, newspaper), loyalty program membership number, points balance, stay history;</w:t>
      </w:r>
    </w:p>
    <w:p>
      <w:pPr>
        <w:pStyle w:val="ListBullet"/>
      </w:pPr>
      <w:r>
        <w:t>CCTV footage: Video recordings from security cameras in public areas (lobbies, hallways, parking areas, entrances);</w:t>
      </w:r>
    </w:p>
    <w:p>
      <w:pPr>
        <w:pStyle w:val="ListBullet"/>
      </w:pPr>
      <w:r>
        <w:t>Vehicle information: Licence plate number, make, model (for valet parking services);</w:t>
      </w:r>
    </w:p>
    <w:p>
      <w:pPr>
        <w:pStyle w:val="ListBullet"/>
      </w:pPr>
      <w:r>
        <w:t>Wi-Fi usage: Device MAC address, connection time, bandwidth usage (for network management purposes only).</w:t>
      </w:r>
    </w:p>
    <w:p>
      <w:pPr>
        <w:pStyle w:val="Heading2"/>
      </w:pPr>
      <w:r>
        <w:t>4. Purpose Limitation</w:t>
      </w:r>
    </w:p>
    <w:p>
      <w:r>
        <w:t>Guest information is collected, used, and disclosed ONLY for the following purposes:</w:t>
      </w:r>
    </w:p>
    <w:p>
      <w:pPr>
        <w:pStyle w:val="ListBullet"/>
      </w:pPr>
      <w:r>
        <w:t>To make, confirm, and manage reservations;</w:t>
      </w:r>
    </w:p>
    <w:p>
      <w:pPr>
        <w:pStyle w:val="ListBullet"/>
      </w:pPr>
      <w:r>
        <w:t>To facilitate check-in and check-out (including compliance with provincial hotel registration requirements);</w:t>
      </w:r>
    </w:p>
    <w:p>
      <w:pPr>
        <w:pStyle w:val="ListBullet"/>
      </w:pPr>
      <w:r>
        <w:t>To process payments and manage billing;</w:t>
      </w:r>
    </w:p>
    <w:p>
      <w:pPr>
        <w:pStyle w:val="ListBullet"/>
      </w:pPr>
      <w:r>
        <w:t>To provide requested services (room service, housekeeping, concierge, valet);</w:t>
      </w:r>
    </w:p>
    <w:p>
      <w:pPr>
        <w:pStyle w:val="ListBullet"/>
      </w:pPr>
      <w:r>
        <w:t>To ensure the safety and security of guests, staff, and property;</w:t>
      </w:r>
    </w:p>
    <w:p>
      <w:pPr>
        <w:pStyle w:val="ListBullet"/>
      </w:pPr>
      <w:r>
        <w:t>To manage and administer the loyalty program;</w:t>
      </w:r>
    </w:p>
    <w:p>
      <w:pPr>
        <w:pStyle w:val="ListBullet"/>
      </w:pPr>
      <w:r>
        <w:t>To improve services through aggregate, anonymized analysis;</w:t>
      </w:r>
    </w:p>
    <w:p>
      <w:pPr>
        <w:pStyle w:val="ListBullet"/>
      </w:pPr>
      <w:r>
        <w:t>To comply with legal and regulatory requirements.</w:t>
      </w:r>
    </w:p>
    <w:p>
      <w:r>
        <w:t>Guest information must NOT be collected, used, or disclosed for any purpose beyond those listed above without the express consent of the guest.</w:t>
      </w:r>
    </w:p>
    <w:p>
      <w:pPr>
        <w:pStyle w:val="Heading2"/>
      </w:pPr>
      <w:r>
        <w:t>5. Consent</w:t>
      </w:r>
    </w:p>
    <w:p>
      <w:pPr>
        <w:pStyle w:val="Heading3"/>
      </w:pPr>
      <w:r>
        <w:t>5.1 Implied Consent</w:t>
      </w:r>
    </w:p>
    <w:p>
      <w:r>
        <w:t>Consent is implied for the collection and use of personal information that is directly necessary for providing the requested service (e.g., name and payment information to complete a reservation, ID for hotel registration).</w:t>
      </w:r>
    </w:p>
    <w:p>
      <w:pPr>
        <w:pStyle w:val="Heading3"/>
      </w:pPr>
      <w:r>
        <w:t>5.2 Express Consent</w:t>
      </w:r>
    </w:p>
    <w:p>
      <w:r>
        <w:t>Express consent is required for:</w:t>
      </w:r>
    </w:p>
    <w:p>
      <w:pPr>
        <w:pStyle w:val="ListBullet"/>
      </w:pPr>
      <w:r>
        <w:t>Marketing communications (email newsletters, promotional offers, partner offers);</w:t>
      </w:r>
    </w:p>
    <w:p>
      <w:pPr>
        <w:pStyle w:val="ListBullet"/>
      </w:pPr>
      <w:r>
        <w:t>Sharing personal information with third parties for marketing purposes;</w:t>
      </w:r>
    </w:p>
    <w:p>
      <w:pPr>
        <w:pStyle w:val="ListBullet"/>
      </w:pPr>
      <w:r>
        <w:t>Collection of information beyond what is necessary for service delivery;</w:t>
      </w:r>
    </w:p>
    <w:p>
      <w:pPr>
        <w:pStyle w:val="ListBullet"/>
      </w:pPr>
      <w:r>
        <w:t>Use of personal information for profiling or automated decision-making.</w:t>
      </w:r>
    </w:p>
    <w:p>
      <w:r>
        <w:t>Guests must be able to withdraw consent at any time without affecting the service they have already received. Withdrawal of marketing consent must be processed within 10 business days.</w:t>
      </w:r>
    </w:p>
    <w:p>
      <w:pPr>
        <w:pStyle w:val="Heading2"/>
      </w:pPr>
      <w:r>
        <w:t>6. Payment Card Data (PCI DSS Compliance)</w:t>
      </w:r>
    </w:p>
    <w:p>
      <w:r>
        <w:t>[COMPANY NAME] processes payment card data in compliance with the Payment Card Industry Data Security Standard (PCI DSS). All staff who handle payment information must adhere to the following:</w:t>
      </w:r>
    </w:p>
    <w:p>
      <w:pPr>
        <w:pStyle w:val="ListBullet"/>
      </w:pPr>
      <w:r>
        <w:t>Never write down a full credit card number on paper. If a card number must be recorded manually (e.g., telephone reservation), record only the last 4 digits and the expiry date. Destroy the record containing the full number as soon as the transaction is processed;</w:t>
      </w:r>
    </w:p>
    <w:p>
      <w:pPr>
        <w:pStyle w:val="ListBullet"/>
      </w:pPr>
      <w:r>
        <w:t>Mask card numbers on all printed receipts, reports, and screens. Only the last 4 digits may be displayed;</w:t>
      </w:r>
    </w:p>
    <w:p>
      <w:pPr>
        <w:pStyle w:val="ListBullet"/>
      </w:pPr>
      <w:r>
        <w:t>Never store the card verification value (CVV/CVC) after the transaction is authorized. The CVV may be used for authorization only and must not be retained in any system, file, or document;</w:t>
      </w:r>
    </w:p>
    <w:p>
      <w:pPr>
        <w:pStyle w:val="ListBullet"/>
      </w:pPr>
      <w:r>
        <w:t>Point-of-sale (POS) systems must be PCI DSS compliant with current security patches applied. Report any POS irregularities (e.g., skimming devices, unfamiliar attachments) to management immediately;</w:t>
      </w:r>
    </w:p>
    <w:p>
      <w:pPr>
        <w:pStyle w:val="ListBullet"/>
      </w:pPr>
      <w:r>
        <w:t>Payment card data must not be transmitted via email, fax, text message, instant message, or any unencrypted channel;</w:t>
      </w:r>
    </w:p>
    <w:p>
      <w:pPr>
        <w:pStyle w:val="ListBullet"/>
      </w:pPr>
      <w:r>
        <w:t>Access to systems that store or process payment card data must be restricted to authorized personnel only, with unique user IDs and strong passwords;</w:t>
      </w:r>
    </w:p>
    <w:p>
      <w:pPr>
        <w:pStyle w:val="ListBullet"/>
      </w:pPr>
      <w:r>
        <w:t>Physical documents containing payment card data must be stored in a locked location and destroyed by cross-cut shredding when no longer needed.</w:t>
      </w:r>
    </w:p>
    <w:p>
      <w:pPr>
        <w:pStyle w:val="Heading2"/>
      </w:pPr>
      <w:r>
        <w:t>7. Guest Room Privacy</w:t>
      </w:r>
    </w:p>
    <w:p>
      <w:r>
        <w:t>Guest room privacy is paramount in the hospitality industry. All staff must adhere to the following:</w:t>
      </w:r>
    </w:p>
    <w:p>
      <w:pPr>
        <w:pStyle w:val="ListBullet"/>
      </w:pPr>
      <w:r>
        <w:t>Never disclose a guest's room number to callers, visitors, or other guests. The standard response to 'What room is [Guest Name] in?' is: 'For the privacy and security of our guests, I am unable to confirm whether that person is a guest at our property. I would be happy to connect your call or take a message.';</w:t>
      </w:r>
    </w:p>
    <w:p>
      <w:pPr>
        <w:pStyle w:val="ListBullet"/>
      </w:pPr>
      <w:r>
        <w:t>Never confirm or deny that a specific person is a guest at the property to any external party, including media, unless directed to do so by the General Manager with the guest's consent or under legal compulsion;</w:t>
      </w:r>
    </w:p>
    <w:p>
      <w:pPr>
        <w:pStyle w:val="ListBullet"/>
      </w:pPr>
      <w:r>
        <w:t>Housekeeping and maintenance staff must knock and announce themselves before entering an occupied room. If the guest does not respond, wait, knock again, and announce before entering;</w:t>
      </w:r>
    </w:p>
    <w:p>
      <w:pPr>
        <w:pStyle w:val="ListBullet"/>
      </w:pPr>
      <w:r>
        <w:t>Do Not Disturb (DND) requests must be honored. If a DND sign has been displayed for more than 24 hours, contact the guest by phone before entering to confirm their well-being;</w:t>
      </w:r>
    </w:p>
    <w:p>
      <w:pPr>
        <w:pStyle w:val="ListBullet"/>
      </w:pPr>
      <w:r>
        <w:t>Guest room keys/cards must only be issued to the registered guest(s). Replacement keys require verification of identity.</w:t>
      </w:r>
    </w:p>
    <w:p>
      <w:pPr>
        <w:pStyle w:val="Heading2"/>
      </w:pPr>
      <w:r>
        <w:t>8. CCTV</w:t>
      </w:r>
    </w:p>
    <w:p>
      <w:pPr>
        <w:pStyle w:val="ListBullet"/>
      </w:pPr>
      <w:r>
        <w:t>Signage must be posted at all entrances notifying guests and visitors that CCTV is in operation;</w:t>
      </w:r>
    </w:p>
    <w:p>
      <w:pPr>
        <w:pStyle w:val="ListBullet"/>
      </w:pPr>
      <w:r>
        <w:t>CCTV cameras must NOT be placed in any area where guests have a reasonable expectation of privacy, including guest rooms, washrooms, change rooms, and spa treatment rooms;</w:t>
      </w:r>
    </w:p>
    <w:p>
      <w:pPr>
        <w:pStyle w:val="ListBullet"/>
      </w:pPr>
      <w:r>
        <w:t>CCTV footage retention period: 30 days for standard footage, extended as required for footage related to incidents or investigations;</w:t>
      </w:r>
    </w:p>
    <w:p>
      <w:pPr>
        <w:pStyle w:val="ListBullet"/>
      </w:pPr>
      <w:r>
        <w:t>Access to CCTV footage is restricted to the General Manager, Security Manager, and authorized designates. Footage must not be shared with unauthorized persons;</w:t>
      </w:r>
    </w:p>
    <w:p>
      <w:pPr>
        <w:pStyle w:val="ListBullet"/>
      </w:pPr>
      <w:r>
        <w:t>Requests for CCTV footage from law enforcement require a warrant, court order, or other lawful authority, except in exigent circumstances (immediate threat to life or safety).</w:t>
      </w:r>
    </w:p>
    <w:p>
      <w:pPr>
        <w:pStyle w:val="Heading2"/>
      </w:pPr>
      <w:r>
        <w:t>9. Lost and Found</w:t>
      </w:r>
    </w:p>
    <w:p>
      <w:pPr>
        <w:pStyle w:val="ListBullet"/>
      </w:pPr>
      <w:r>
        <w:t>All found items must be logged in the Lost and Found register with a description, location found, date, and finder's name;</w:t>
      </w:r>
    </w:p>
    <w:p>
      <w:pPr>
        <w:pStyle w:val="ListBullet"/>
      </w:pPr>
      <w:r>
        <w:t>Before releasing a found item to a claimant, verify their identity and ask them to describe the item before showing it to them;</w:t>
      </w:r>
    </w:p>
    <w:p>
      <w:pPr>
        <w:pStyle w:val="ListBullet"/>
      </w:pPr>
      <w:r>
        <w:t>Items containing personal information (wallets, phones, identification) must be stored securely with restricted access;</w:t>
      </w:r>
    </w:p>
    <w:p>
      <w:pPr>
        <w:pStyle w:val="ListBullet"/>
      </w:pPr>
      <w:r>
        <w:t>Unclaimed items: Retain for a minimum of 90 days (or as required by municipal bylaw), after which items may be disposed of, donated, or returned to the finder in accordance with local law;</w:t>
      </w:r>
    </w:p>
    <w:p>
      <w:pPr>
        <w:pStyle w:val="ListBullet"/>
      </w:pPr>
      <w:r>
        <w:t>Do not search through personal items (wallets, phones, bags) to identify the owner. Wait for the owner to claim the item.</w:t>
      </w:r>
    </w:p>
    <w:p>
      <w:pPr>
        <w:pStyle w:val="Heading2"/>
      </w:pPr>
      <w:r>
        <w:t>10. Celebrity and VIP Guests</w:t>
      </w:r>
    </w:p>
    <w:p>
      <w:r>
        <w:t>Guests who are public figures, celebrities, or who request enhanced privacy must be afforded additional protections:</w:t>
      </w:r>
    </w:p>
    <w:p>
      <w:pPr>
        <w:pStyle w:val="ListBullet"/>
      </w:pPr>
      <w:r>
        <w:t>A code name may be used for the reservation and internal communications if requested by the guest;</w:t>
      </w:r>
    </w:p>
    <w:p>
      <w:pPr>
        <w:pStyle w:val="ListBullet"/>
      </w:pPr>
      <w:r>
        <w:t>Staff must NOT post about celebrity or VIP guests on social media, share photos, request autographs, or discuss their presence with anyone outside the immediate service team;</w:t>
      </w:r>
    </w:p>
    <w:p>
      <w:pPr>
        <w:pStyle w:val="ListBullet"/>
      </w:pPr>
      <w:r>
        <w:t>Media inquiries about celebrity or VIP guests must be directed to the General Manager. The standard response is: 'We do not confirm or deny the presence of any guest at our property';</w:t>
      </w:r>
    </w:p>
    <w:p>
      <w:pPr>
        <w:pStyle w:val="ListBullet"/>
      </w:pPr>
      <w:r>
        <w:t>Security protocols may be enhanced in coordination with the guest's security team, with the approval of the General Manager.</w:t>
      </w:r>
    </w:p>
    <w:p>
      <w:pPr>
        <w:pStyle w:val="Heading2"/>
      </w:pPr>
      <w:r>
        <w:t>11. Third-Party Requests</w:t>
      </w:r>
    </w:p>
    <w:p>
      <w:pPr>
        <w:pStyle w:val="Heading3"/>
      </w:pPr>
      <w:r>
        <w:t>11.1 Law Enforcement</w:t>
      </w:r>
    </w:p>
    <w:p>
      <w:pPr>
        <w:pStyle w:val="ListBullet"/>
      </w:pPr>
      <w:r>
        <w:t>Routine requests for guest information from law enforcement require a valid warrant or court order. Staff must not provide guest information to police based on a verbal request alone unless there is an immediate threat to life or safety;</w:t>
      </w:r>
    </w:p>
    <w:p>
      <w:pPr>
        <w:pStyle w:val="ListBullet"/>
      </w:pPr>
      <w:r>
        <w:t>Receive the warrant or court order, verify it, and immediately contact the General Manager and/or Legal Counsel;</w:t>
      </w:r>
    </w:p>
    <w:p>
      <w:pPr>
        <w:pStyle w:val="ListBullet"/>
      </w:pPr>
      <w:r>
        <w:t>Provide only the information specified in the warrant or order;</w:t>
      </w:r>
    </w:p>
    <w:p>
      <w:pPr>
        <w:pStyle w:val="ListBullet"/>
      </w:pPr>
      <w:r>
        <w:t>Document the request, the authority under which it was made, and the information disclosed.</w:t>
      </w:r>
    </w:p>
    <w:p>
      <w:pPr>
        <w:pStyle w:val="Heading3"/>
      </w:pPr>
      <w:r>
        <w:t>11.2 Legal Subpoenas and Civil Requests</w:t>
      </w:r>
    </w:p>
    <w:p>
      <w:pPr>
        <w:pStyle w:val="ListBullet"/>
      </w:pPr>
      <w:r>
        <w:t>All subpoenas and civil legal requests for guest records must be referred to Legal Counsel before any disclosure;</w:t>
      </w:r>
    </w:p>
    <w:p>
      <w:pPr>
        <w:pStyle w:val="ListBullet"/>
      </w:pPr>
      <w:r>
        <w:t>Do not disclose guest information in response to a letter from a lawyer, private investigator, or other non-governmental party without Legal Counsel's approval and, where required, a valid court order.</w:t>
      </w:r>
    </w:p>
    <w:p>
      <w:pPr>
        <w:pStyle w:val="Heading2"/>
      </w:pPr>
      <w:r>
        <w:t>12. Data Retention</w:t>
      </w:r>
    </w:p>
    <w:p>
      <w:pPr>
        <w:pStyle w:val="ListBullet"/>
      </w:pPr>
      <w:r>
        <w:t>Reservation and guest registration data: Retain for a minimum of 6 years (or as required by provincial hotel registration regulations and tax laws);</w:t>
      </w:r>
    </w:p>
    <w:p>
      <w:pPr>
        <w:pStyle w:val="ListBullet"/>
      </w:pPr>
      <w:r>
        <w:t>Payment card data: Retain in compliance with PCI DSS requirements. Full card numbers must not be stored after transaction authorization;</w:t>
      </w:r>
    </w:p>
    <w:p>
      <w:pPr>
        <w:pStyle w:val="ListBullet"/>
      </w:pPr>
      <w:r>
        <w:t>CCTV footage: 30 days standard retention;</w:t>
      </w:r>
    </w:p>
    <w:p>
      <w:pPr>
        <w:pStyle w:val="ListBullet"/>
      </w:pPr>
      <w:r>
        <w:t>Loyalty program data: Retain for the duration of the guest's membership plus 2 years after account inactivity;</w:t>
      </w:r>
    </w:p>
    <w:p>
      <w:pPr>
        <w:pStyle w:val="ListBullet"/>
      </w:pPr>
      <w:r>
        <w:t>Marketing consent records: Retain for the duration of the consent plus 2 years;</w:t>
      </w:r>
    </w:p>
    <w:p>
      <w:pPr>
        <w:pStyle w:val="ListBullet"/>
      </w:pPr>
      <w:r>
        <w:t>After the retention period expires, data must be securely destroyed: paper records by cross-cut shredding, electronic records by secure deletion or overwriting.</w:t>
      </w:r>
    </w:p>
    <w:p>
      <w:pPr>
        <w:pStyle w:val="Heading2"/>
      </w:pPr>
      <w:r>
        <w:t>13. Data Breach Response</w:t>
      </w:r>
    </w:p>
    <w:p>
      <w:r>
        <w:t>In the event of a suspected or confirmed breach of guest personal information:</w:t>
      </w:r>
    </w:p>
    <w:p>
      <w:pPr>
        <w:pStyle w:val="ListBullet"/>
      </w:pPr>
      <w:r>
        <w:t>The employee who discovers the breach must report it to the General Manager and/or Privacy Officer immediately;</w:t>
      </w:r>
    </w:p>
    <w:p>
      <w:pPr>
        <w:pStyle w:val="ListBullet"/>
      </w:pPr>
      <w:r>
        <w:t>The Privacy Officer will assess the breach, contain it, and determine the scope of affected data;</w:t>
      </w:r>
    </w:p>
    <w:p>
      <w:pPr>
        <w:pStyle w:val="ListBullet"/>
      </w:pPr>
      <w:r>
        <w:t>If the breach creates a real risk of significant harm to individuals, [COMPANY NAME] must notify affected individuals and the Office of the Privacy Commissioner of Canada as soon as feasible (PIPEDA s. 10.1);</w:t>
      </w:r>
    </w:p>
    <w:p>
      <w:pPr>
        <w:pStyle w:val="ListBullet"/>
      </w:pPr>
      <w:r>
        <w:t>A breach investigation must be conducted, documented, and retained for a minimum of 2 years;</w:t>
      </w:r>
    </w:p>
    <w:p>
      <w:pPr>
        <w:pStyle w:val="ListBullet"/>
      </w:pPr>
      <w:r>
        <w:t>For breaches involving payment card data, the acquiring bank and payment card brands must be notified in accordance with PCI DSS requirements.</w:t>
      </w:r>
    </w:p>
    <w:p>
      <w:pPr>
        <w:pStyle w:val="Heading2"/>
      </w:pPr>
      <w:r>
        <w:t>14. Staff Obligations</w:t>
      </w:r>
    </w:p>
    <w:p>
      <w:r>
        <w:t>All staff must:</w:t>
      </w:r>
    </w:p>
    <w:p>
      <w:pPr>
        <w:pStyle w:val="ListBullet"/>
      </w:pPr>
      <w:r>
        <w:t>Treat all guest information as confidential and share it only on a need-to-know basis for service delivery;</w:t>
      </w:r>
    </w:p>
    <w:p>
      <w:pPr>
        <w:pStyle w:val="ListBullet"/>
      </w:pPr>
      <w:r>
        <w:t>Not discuss guest information in public areas;</w:t>
      </w:r>
    </w:p>
    <w:p>
      <w:pPr>
        <w:pStyle w:val="ListBullet"/>
      </w:pPr>
      <w:r>
        <w:t>Not share, post, or publish guest information, photos, or stories on personal or professional social media;</w:t>
      </w:r>
    </w:p>
    <w:p>
      <w:pPr>
        <w:pStyle w:val="ListBullet"/>
      </w:pPr>
      <w:r>
        <w:t>Not photograph guests or their property;</w:t>
      </w:r>
    </w:p>
    <w:p>
      <w:pPr>
        <w:pStyle w:val="ListBullet"/>
      </w:pPr>
      <w:r>
        <w:t>Not access guest records, CCTV footage, or payment information without a legitimate business reason;</w:t>
      </w:r>
    </w:p>
    <w:p>
      <w:pPr>
        <w:pStyle w:val="ListBullet"/>
      </w:pPr>
      <w:r>
        <w:t>Report any suspected privacy breach immediately.</w:t>
      </w:r>
    </w:p>
    <w:p>
      <w:r>
        <w:t>Violation of this policy constitutes grounds for disciplinary action up to and including immediate termination of employment.</w:t>
      </w:r>
    </w:p>
    <w:p>
      <w:pPr>
        <w:pStyle w:val="Heading2"/>
      </w:pPr>
      <w:r>
        <w:t>15. Policy Review</w:t>
      </w:r>
    </w:p>
    <w:p>
      <w:r>
        <w:t>This policy shall be reviewed at least annually by the General Manager, Privacy Officer, and VP, Human Resources, and updated as required to reflect changes in legislation, PCI DSS standards, or business operations.</w:t>
      </w:r>
    </w:p>
    <w:p>
      <w:pPr>
        <w:pStyle w:val="Heading2"/>
      </w:pPr>
      <w:r>
        <w:t>Approval</w:t>
      </w:r>
    </w:p>
    <w:tbl>
      <w:tblPr>
        <w:tblW w:type="auto" w:w="0"/>
        <w:jc w:val="left"/>
        <w:tblLook w:firstColumn="1" w:firstRow="1" w:lastColumn="0" w:lastRow="0" w:noHBand="0" w:noVBand="1" w:val="04A0"/>
      </w:tblPr>
      <w:tblGrid>
        <w:gridCol w:w="2880"/>
        <w:gridCol w:w="2880"/>
        <w:gridCol w:w="2880"/>
      </w:tblGrid>
      <w:tr>
        <w:tc>
          <w:tcPr>
            <w:tcW w:type="dxa" w:w="2880"/>
          </w:tcPr>
          <w:p>
            <w:r/>
            <w:r>
              <w:rPr>
                <w:rFonts w:ascii="Calibri" w:hAnsi="Calibri"/>
                <w:b/>
                <w:sz w:val="20"/>
              </w:rPr>
              <w:t>Role</w:t>
            </w:r>
          </w:p>
        </w:tc>
        <w:tc>
          <w:tcPr>
            <w:tcW w:type="dxa" w:w="2880"/>
          </w:tcPr>
          <w:p>
            <w:r/>
            <w:r>
              <w:rPr>
                <w:rFonts w:ascii="Calibri" w:hAnsi="Calibri"/>
                <w:b/>
                <w:sz w:val="20"/>
              </w:rPr>
              <w:t>Name</w:t>
            </w:r>
          </w:p>
        </w:tc>
        <w:tc>
          <w:tcPr>
            <w:tcW w:type="dxa" w:w="2880"/>
          </w:tcPr>
          <w:p>
            <w:r/>
            <w:r>
              <w:rPr>
                <w:rFonts w:ascii="Calibri" w:hAnsi="Calibri"/>
                <w:b/>
                <w:sz w:val="20"/>
              </w:rPr>
              <w:t>Signature / Date</w:t>
            </w:r>
          </w:p>
        </w:tc>
      </w:tr>
      <w:tr>
        <w:tc>
          <w:tcPr>
            <w:tcW w:type="dxa" w:w="2880"/>
          </w:tcPr>
          <w:p>
            <w:r>
              <w:rPr>
                <w:rFonts w:ascii="Calibri" w:hAnsi="Calibri"/>
                <w:sz w:val="20"/>
              </w:rPr>
              <w:t>President / CEO</w:t>
            </w:r>
          </w:p>
        </w:tc>
        <w:tc>
          <w:tcPr>
            <w:tcW w:type="dxa" w:w="2880"/>
          </w:tcPr>
          <w:p>
            <w:r>
              <w:rPr>
                <w:rFonts w:ascii="Calibri" w:hAnsi="Calibri"/>
                <w:sz w:val="20"/>
              </w:rPr>
              <w:t>________________________</w:t>
            </w:r>
          </w:p>
        </w:tc>
        <w:tc>
          <w:tcPr>
            <w:tcW w:type="dxa" w:w="2880"/>
          </w:tcPr>
          <w:p>
            <w:r>
              <w:rPr>
                <w:rFonts w:ascii="Calibri" w:hAnsi="Calibri"/>
                <w:sz w:val="20"/>
              </w:rPr>
              <w:t>________________________</w:t>
            </w:r>
          </w:p>
        </w:tc>
      </w:tr>
      <w:tr>
        <w:tc>
          <w:tcPr>
            <w:tcW w:type="dxa" w:w="2880"/>
          </w:tcPr>
          <w:p>
            <w:r>
              <w:rPr>
                <w:rFonts w:ascii="Calibri" w:hAnsi="Calibri"/>
                <w:sz w:val="20"/>
              </w:rPr>
              <w:t>VP, Human Resources</w:t>
            </w:r>
          </w:p>
        </w:tc>
        <w:tc>
          <w:tcPr>
            <w:tcW w:type="dxa" w:w="2880"/>
          </w:tcPr>
          <w:p>
            <w:r>
              <w:rPr>
                <w:rFonts w:ascii="Calibri" w:hAnsi="Calibri"/>
                <w:sz w:val="20"/>
              </w:rPr>
              <w:t>________________________</w:t>
            </w:r>
          </w:p>
        </w:tc>
        <w:tc>
          <w:tcPr>
            <w:tcW w:type="dxa" w:w="2880"/>
          </w:tcPr>
          <w:p>
            <w:r>
              <w:rPr>
                <w:rFonts w:ascii="Calibri" w:hAnsi="Calibri"/>
                <w:sz w:val="20"/>
              </w:rPr>
              <w:t>________________________</w:t>
            </w:r>
          </w:p>
        </w:tc>
      </w:tr>
      <w:tr>
        <w:tc>
          <w:tcPr>
            <w:tcW w:type="dxa" w:w="2880"/>
          </w:tcPr>
          <w:p>
            <w:r>
              <w:rPr>
                <w:rFonts w:ascii="Calibri" w:hAnsi="Calibri"/>
                <w:sz w:val="20"/>
              </w:rPr>
              <w:t>Legal Counsel</w:t>
            </w:r>
          </w:p>
        </w:tc>
        <w:tc>
          <w:tcPr>
            <w:tcW w:type="dxa" w:w="2880"/>
          </w:tcPr>
          <w:p>
            <w:r>
              <w:rPr>
                <w:rFonts w:ascii="Calibri" w:hAnsi="Calibri"/>
                <w:sz w:val="20"/>
              </w:rPr>
              <w:t>________________________</w:t>
            </w:r>
          </w:p>
        </w:tc>
        <w:tc>
          <w:tcPr>
            <w:tcW w:type="dxa" w:w="2880"/>
          </w:tcPr>
          <w:p>
            <w:r>
              <w:rPr>
                <w:rFonts w:ascii="Calibri" w:hAnsi="Calibri"/>
                <w:sz w:val="20"/>
              </w:rPr>
              <w:t>________________________</w:t>
            </w:r>
          </w:p>
        </w:tc>
      </w:tr>
    </w:tbl>
    <w:p>
      <w:pPr>
        <w:pStyle w:val="Heading2"/>
      </w:pPr>
      <w:r>
        <w:t>Employee Acknowledgment</w:t>
      </w:r>
    </w:p>
    <w:p>
      <w:r>
        <w:t>I, ________________________ (print name), acknowledge that I have received, read, and understood this Guest Privacy &amp; Data Protection Policy. I agree to comply with the requirements and standards set out in this policy as a condition of my employment with [COMPANY NAME].</w:t>
      </w:r>
    </w:p>
    <w:p/>
    <w:tbl>
      <w:tblPr>
        <w:tblW w:type="auto" w:w="0"/>
        <w:jc w:val="left"/>
        <w:tblLook w:firstColumn="1" w:firstRow="1" w:lastColumn="0" w:lastRow="0" w:noHBand="0" w:noVBand="1" w:val="04A0"/>
      </w:tblPr>
      <w:tblGrid>
        <w:gridCol w:w="4320"/>
        <w:gridCol w:w="4320"/>
      </w:tblGrid>
      <w:tr>
        <w:tc>
          <w:tcPr>
            <w:tcW w:type="dxa" w:w="4320"/>
          </w:tcPr>
          <w:p>
            <w:r>
              <w:rPr>
                <w:rFonts w:ascii="Calibri" w:hAnsi="Calibri"/>
                <w:sz w:val="20"/>
              </w:rPr>
              <w:t>Employee Signature: _________________________</w:t>
            </w:r>
          </w:p>
        </w:tc>
        <w:tc>
          <w:tcPr>
            <w:tcW w:type="dxa" w:w="4320"/>
          </w:tcPr>
          <w:p>
            <w:r>
              <w:rPr>
                <w:rFonts w:ascii="Calibri" w:hAnsi="Calibri"/>
                <w:sz w:val="20"/>
              </w:rPr>
              <w:t>Date: ________________________</w:t>
            </w:r>
          </w:p>
        </w:tc>
      </w:tr>
      <w:tr>
        <w:tc>
          <w:tcPr>
            <w:tcW w:type="dxa" w:w="4320"/>
          </w:tcPr>
          <w:p>
            <w:r>
              <w:rPr>
                <w:rFonts w:ascii="Calibri" w:hAnsi="Calibri"/>
                <w:sz w:val="20"/>
              </w:rPr>
              <w:t>Employee Name (Print): ______________________</w:t>
            </w:r>
          </w:p>
        </w:tc>
        <w:tc>
          <w:tcPr>
            <w:tcW w:type="dxa" w:w="4320"/>
          </w:tcPr>
          <w:p>
            <w:r>
              <w:rPr>
                <w:rFonts w:ascii="Calibri" w:hAnsi="Calibri"/>
                <w:sz w:val="20"/>
              </w:rPr>
              <w:t>Employee ID: _________________</w:t>
            </w:r>
          </w:p>
        </w:tc>
      </w:tr>
      <w:tr>
        <w:tc>
          <w:tcPr>
            <w:tcW w:type="dxa" w:w="4320"/>
          </w:tcPr>
          <w:p>
            <w:r>
              <w:rPr>
                <w:rFonts w:ascii="Calibri" w:hAnsi="Calibri"/>
                <w:sz w:val="20"/>
              </w:rPr>
              <w:t>Department: _________________________________</w:t>
            </w:r>
          </w:p>
        </w:tc>
        <w:tc>
          <w:tcPr>
            <w:tcW w:type="dxa" w:w="4320"/>
          </w:tcPr>
          <w:p>
            <w:r>
              <w:rPr>
                <w:rFonts w:ascii="Calibri" w:hAnsi="Calibri"/>
                <w:sz w:val="20"/>
              </w:rPr>
              <w:t>Position: ____________________</w:t>
            </w:r>
          </w:p>
        </w:tc>
      </w:tr>
    </w:tbl>
    <w:p/>
    <w:p/>
    <w:p>
      <w:pPr>
        <w:jc w:val="center"/>
      </w:pPr>
      <w:r>
        <w:rPr>
          <w:rFonts w:ascii="Calibri" w:hAnsi="Calibri"/>
          <w:color w:val="666666"/>
          <w:sz w:val="18"/>
        </w:rPr>
        <w:t>Prepared by [COMPANY NAME] | Guest Privacy &amp; Data Protection Policy | [DATE]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3A5C"/>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3A5C"/>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3A5C"/>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color w:val="333333"/>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