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A3A5C"/>
          <w:sz w:val="44"/>
        </w:rPr>
        <w:t>[COMPANY NAME]</w:t>
      </w:r>
    </w:p>
    <w:p>
      <w:r>
        <w:rPr>
          <w:rFonts w:ascii="Calibri" w:hAnsi="Calibri"/>
          <w:color w:val="666666"/>
          <w:sz w:val="22"/>
        </w:rPr>
        <w:t>[HOSPITALITY] -- [ONTARIO ESA Part V.1] -- [CRA]</w:t>
      </w:r>
    </w:p>
    <w:p>
      <w:pPr>
        <w:pStyle w:val="Heading1"/>
      </w:pPr>
      <w:r>
        <w:t>Tip Pooling &amp; Distribution Policy</w:t>
      </w:r>
    </w:p>
    <w:tbl>
      <w:tblPr>
        <w:tblW w:type="auto" w:w="0"/>
        <w:jc w:val="left"/>
        <w:tblLook w:firstColumn="1" w:firstRow="1" w:lastColumn="0" w:lastRow="0" w:noHBand="0" w:noVBand="1" w:val="04A0"/>
      </w:tblPr>
      <w:tblGrid>
        <w:gridCol w:w="4320"/>
        <w:gridCol w:w="4320"/>
      </w:tblGrid>
      <w:tr>
        <w:tc>
          <w:tcPr>
            <w:tcW w:type="dxa" w:w="4320"/>
          </w:tcPr>
          <w:p>
            <w:r/>
            <w:r>
              <w:rPr>
                <w:rFonts w:ascii="Calibri" w:hAnsi="Calibri"/>
                <w:b/>
                <w:sz w:val="20"/>
              </w:rPr>
              <w:t>Policy Number:</w:t>
            </w:r>
          </w:p>
        </w:tc>
        <w:tc>
          <w:tcPr>
            <w:tcW w:type="dxa" w:w="4320"/>
          </w:tcPr>
          <w:p>
            <w:r/>
            <w:r>
              <w:rPr>
                <w:rFonts w:ascii="Calibri" w:hAnsi="Calibri"/>
                <w:sz w:val="20"/>
              </w:rPr>
              <w:t>[POLICY-034]</w:t>
            </w:r>
          </w:p>
        </w:tc>
      </w:tr>
      <w:tr>
        <w:tc>
          <w:tcPr>
            <w:tcW w:type="dxa" w:w="4320"/>
          </w:tcPr>
          <w:p>
            <w:r/>
            <w:r>
              <w:rPr>
                <w:rFonts w:ascii="Calibri" w:hAnsi="Calibri"/>
                <w:b/>
                <w:sz w:val="20"/>
              </w:rPr>
              <w:t>Version:</w:t>
            </w:r>
          </w:p>
        </w:tc>
        <w:tc>
          <w:tcPr>
            <w:tcW w:type="dxa" w:w="4320"/>
          </w:tcPr>
          <w:p>
            <w:r/>
            <w:r>
              <w:rPr>
                <w:rFonts w:ascii="Calibri" w:hAnsi="Calibri"/>
                <w:sz w:val="20"/>
              </w:rPr>
              <w:t>[1.0]</w:t>
            </w:r>
          </w:p>
        </w:tc>
      </w:tr>
      <w:tr>
        <w:tc>
          <w:tcPr>
            <w:tcW w:type="dxa" w:w="4320"/>
          </w:tcPr>
          <w:p>
            <w:r/>
            <w:r>
              <w:rPr>
                <w:rFonts w:ascii="Calibri" w:hAnsi="Calibri"/>
                <w:b/>
                <w:sz w:val="20"/>
              </w:rPr>
              <w:t>Effective Date:</w:t>
            </w:r>
          </w:p>
        </w:tc>
        <w:tc>
          <w:tcPr>
            <w:tcW w:type="dxa" w:w="4320"/>
          </w:tcPr>
          <w:p>
            <w:r/>
            <w:r>
              <w:rPr>
                <w:rFonts w:ascii="Calibri" w:hAnsi="Calibri"/>
                <w:sz w:val="20"/>
              </w:rPr>
              <w:t>[EFFECTIVE DATE]</w:t>
            </w:r>
          </w:p>
        </w:tc>
      </w:tr>
      <w:tr>
        <w:tc>
          <w:tcPr>
            <w:tcW w:type="dxa" w:w="4320"/>
          </w:tcPr>
          <w:p>
            <w:r/>
            <w:r>
              <w:rPr>
                <w:rFonts w:ascii="Calibri" w:hAnsi="Calibri"/>
                <w:b/>
                <w:sz w:val="20"/>
              </w:rPr>
              <w:t>Last Reviewed:</w:t>
            </w:r>
          </w:p>
        </w:tc>
        <w:tc>
          <w:tcPr>
            <w:tcW w:type="dxa" w:w="4320"/>
          </w:tcPr>
          <w:p>
            <w:r/>
            <w:r>
              <w:rPr>
                <w:rFonts w:ascii="Calibri" w:hAnsi="Calibri"/>
                <w:sz w:val="20"/>
              </w:rPr>
              <w:t>[REVIEW DATE]</w:t>
            </w:r>
          </w:p>
        </w:tc>
      </w:tr>
      <w:tr>
        <w:tc>
          <w:tcPr>
            <w:tcW w:type="dxa" w:w="4320"/>
          </w:tcPr>
          <w:p>
            <w:r/>
            <w:r>
              <w:rPr>
                <w:rFonts w:ascii="Calibri" w:hAnsi="Calibri"/>
                <w:b/>
                <w:sz w:val="20"/>
              </w:rPr>
              <w:t>Policy Owner:</w:t>
            </w:r>
          </w:p>
        </w:tc>
        <w:tc>
          <w:tcPr>
            <w:tcW w:type="dxa" w:w="4320"/>
          </w:tcPr>
          <w:p>
            <w:r/>
            <w:r>
              <w:rPr>
                <w:rFonts w:ascii="Calibri" w:hAnsi="Calibri"/>
                <w:sz w:val="20"/>
              </w:rPr>
              <w:t>General Manager / VP, Human Resources</w:t>
            </w:r>
          </w:p>
        </w:tc>
      </w:tr>
    </w:tbl>
    <w:p/>
    <w:p>
      <w:pPr>
        <w:pStyle w:val="Heading2"/>
      </w:pPr>
      <w:r>
        <w:t>1. Purpose</w:t>
      </w:r>
    </w:p>
    <w:p>
      <w:r>
        <w:t>[COMPANY NAME] is committed to fair, transparent, and lawful handling of tips and gratuities. This policy establishes the rules for tip pooling, distribution, record-keeping, and tax compliance in accordance with Part V.1 of the Ontario Employment Standards Act, 2000 (ESA) and the Canada Revenue Agency (CRA) requirements for tip income reporting.</w:t>
      </w:r>
    </w:p>
    <w:p>
      <w:pPr>
        <w:pStyle w:val="Heading2"/>
      </w:pPr>
      <w:r>
        <w:t>2. Scope</w:t>
      </w:r>
    </w:p>
    <w:p>
      <w:r>
        <w:t>This policy applies to all employees who receive tips, gratuities, or service charges in the course of their employment at any [COMPANY NAME] location, including servers, bartenders, bussers, hosts/hostesses, kitchen staff, and any other eligible employees. This policy also applies to all managers and supervisors who are responsible for administering tip pooling and distribution.</w:t>
      </w:r>
    </w:p>
    <w:p>
      <w:pPr>
        <w:pStyle w:val="Heading2"/>
      </w:pPr>
      <w:r>
        <w:t>3. Definition of Tips and Gratuities</w:t>
      </w:r>
    </w:p>
    <w:p>
      <w:pPr>
        <w:pStyle w:val="ListBullet"/>
      </w:pPr>
      <w:r>
        <w:t>Tips and Gratuities: Voluntary payments made by a customer to an employee in recognition of the service provided. Tips are the property of the employee, not the employer (ESA s. 14.1(1)). Tips may be paid in cash, added to a credit card, debit card, or other electronic payment, or provided in any other form;</w:t>
      </w:r>
    </w:p>
    <w:p>
      <w:pPr>
        <w:pStyle w:val="ListBullet"/>
      </w:pPr>
      <w:r>
        <w:t>Service Charge: A mandatory charge added by the establishment to a customer's bill (e.g., automatic gratuity on parties of 6 or more). A service charge is NOT a tip under the ESA unless [COMPANY NAME] designates it as such and distributes it to employees. If designated as a tip, it must be distributed in accordance with this policy;</w:t>
      </w:r>
    </w:p>
    <w:p>
      <w:pPr>
        <w:pStyle w:val="ListBullet"/>
      </w:pPr>
      <w:r>
        <w:t>The distinction matters: Tips (voluntary) belong to the employee by law. Service charges (mandatory) belong to the employer unless designated as tips.</w:t>
      </w:r>
    </w:p>
    <w:p>
      <w:pPr>
        <w:pStyle w:val="Heading2"/>
      </w:pPr>
      <w:r>
        <w:t>4. Employer Prohibition</w:t>
      </w:r>
    </w:p>
    <w:p>
      <w:r>
        <w:t>Under ESA s. 14.1(1), the employer, including the owner, directors, and shareholders of [COMPANY NAME], may NOT:</w:t>
      </w:r>
    </w:p>
    <w:p>
      <w:pPr>
        <w:pStyle w:val="ListBullet"/>
      </w:pPr>
      <w:r>
        <w:t>Take any portion of an employee's tips or other gratuities;</w:t>
      </w:r>
    </w:p>
    <w:p>
      <w:pPr>
        <w:pStyle w:val="ListBullet"/>
      </w:pPr>
      <w:r>
        <w:t>Withhold tips from an employee for any reason, including to cover breakage, cash shortages, walkouts, dine-and-dash losses, or uniform costs (see Section 9);</w:t>
      </w:r>
    </w:p>
    <w:p>
      <w:pPr>
        <w:pStyle w:val="ListBullet"/>
      </w:pPr>
      <w:r>
        <w:t>Use tips to offset the employee's wages.</w:t>
      </w:r>
    </w:p>
    <w:p>
      <w:r>
        <w:t>The sole exception under ESA s. 14.1(2) is that an employer who regularly performs the same work as the employees who share in the tip pool (e.g., an owner who regularly works the bar) may share in the tip pool to the extent that they perform the same work.</w:t>
      </w:r>
    </w:p>
    <w:p>
      <w:pPr>
        <w:pStyle w:val="Heading2"/>
      </w:pPr>
      <w:r>
        <w:t>5. Tip Pooling</w:t>
      </w:r>
    </w:p>
    <w:p>
      <w:pPr>
        <w:pStyle w:val="Heading3"/>
      </w:pPr>
      <w:r>
        <w:t>5.1 Mandatory vs. Voluntary Participation</w:t>
      </w:r>
    </w:p>
    <w:p>
      <w:r>
        <w:t>Under ESA s. 14.1(3), [COMPANY NAME] may require employees to participate in a tip pooling arrangement. Participation in the tip pool is mandatory for all employees in eligible positions as defined in Section 5.2.</w:t>
      </w:r>
    </w:p>
    <w:p>
      <w:pPr>
        <w:pStyle w:val="Heading3"/>
      </w:pPr>
      <w:r>
        <w:t>5.2 Eligible Pool Participants</w:t>
      </w:r>
    </w:p>
    <w:p>
      <w:r>
        <w:t>[COMPANY NAME] includes the following positions in the tip pool. The specific positions and percentages may be adjusted by location with the approval of the General Manager, provided the adjustment complies with this policy and the ESA:</w:t>
      </w:r>
    </w:p>
    <w:p>
      <w:pPr>
        <w:pStyle w:val="ListBullet"/>
      </w:pPr>
      <w:r>
        <w:t>Servers;</w:t>
      </w:r>
    </w:p>
    <w:p>
      <w:pPr>
        <w:pStyle w:val="ListBullet"/>
      </w:pPr>
      <w:r>
        <w:t>Bartenders;</w:t>
      </w:r>
    </w:p>
    <w:p>
      <w:pPr>
        <w:pStyle w:val="ListBullet"/>
      </w:pPr>
      <w:r>
        <w:t>Bussers / Barbacks;</w:t>
      </w:r>
    </w:p>
    <w:p>
      <w:pPr>
        <w:pStyle w:val="ListBullet"/>
      </w:pPr>
      <w:r>
        <w:t>Hosts / Hostesses;</w:t>
      </w:r>
    </w:p>
    <w:p>
      <w:pPr>
        <w:pStyle w:val="ListBullet"/>
      </w:pPr>
      <w:r>
        <w:t>Kitchen staff (cooks, prep cooks, dishwashers) -- see Section 6 for tip-out to kitchen.</w:t>
      </w:r>
    </w:p>
    <w:p>
      <w:r>
        <w:t>Managers and supervisors who do not regularly perform the same work as pool participants are NOT eligible to participate in the tip pool.</w:t>
      </w:r>
    </w:p>
    <w:p>
      <w:pPr>
        <w:pStyle w:val="Heading3"/>
      </w:pPr>
      <w:r>
        <w:t>5.3 Pool Calculation Methods</w:t>
      </w:r>
    </w:p>
    <w:p>
      <w:r>
        <w:t>[COMPANY NAME] uses the following method for tip pool distribution. The method in effect at each location must be posted in writing in the staff area:</w:t>
      </w:r>
    </w:p>
    <w:p>
      <w:pPr>
        <w:pStyle w:val="ListBullet"/>
      </w:pPr>
      <w:r>
        <w:t>Percentage-Based by Role: Each role is assigned a percentage of the total pooled tips. For example: Servers 60%, Bartenders 15%, Bussers/Barbacks 10%, Hosts 5%, Kitchen 10%. The specific percentages are set by location management and communicated in writing to all staff;</w:t>
      </w:r>
    </w:p>
    <w:p>
      <w:pPr>
        <w:pStyle w:val="ListBullet"/>
      </w:pPr>
      <w:r>
        <w:t>Hours-Based (alternative method): Total pooled tips are divided by total hours worked by all eligible employees, then multiplied by each employee's hours. This method may be used at locations where it better reflects relative contribution;</w:t>
      </w:r>
    </w:p>
    <w:p>
      <w:pPr>
        <w:pStyle w:val="ListBullet"/>
      </w:pPr>
      <w:r>
        <w:t>Point System (alternative method): Each role is assigned a point value per hour worked. Total pooled tips are divided by total points, then multiplied by each employee's points. This method allows for more granular differentiation between roles.</w:t>
      </w:r>
    </w:p>
    <w:p>
      <w:r>
        <w:t>Regardless of the method used, the distribution formula must be documented, communicated in writing to all eligible employees, and applied consistently.</w:t>
      </w:r>
    </w:p>
    <w:p>
      <w:pPr>
        <w:pStyle w:val="Heading2"/>
      </w:pPr>
      <w:r>
        <w:t>6. Tip-Out to Kitchen</w:t>
      </w:r>
    </w:p>
    <w:p>
      <w:r>
        <w:t>A tip-out from front-of-house (FOH) staff to back-of-house (BOH) kitchen staff is a common and accepted practice in the hospitality industry. At [COMPANY NAME]:</w:t>
      </w:r>
    </w:p>
    <w:p>
      <w:pPr>
        <w:pStyle w:val="ListBullet"/>
      </w:pPr>
      <w:r>
        <w:t>The kitchen tip-out percentage is set by location management and documented in writing. A common range is 3-10% of total tips;</w:t>
      </w:r>
    </w:p>
    <w:p>
      <w:pPr>
        <w:pStyle w:val="ListBullet"/>
      </w:pPr>
      <w:r>
        <w:t>The tip-out to kitchen is distributed among eligible kitchen staff based on the method specified in Section 5.3;</w:t>
      </w:r>
    </w:p>
    <w:p>
      <w:pPr>
        <w:pStyle w:val="ListBullet"/>
      </w:pPr>
      <w:r>
        <w:t>The kitchen tip-out percentage must be communicated to all FOH staff before they begin earning tips.</w:t>
      </w:r>
    </w:p>
    <w:p>
      <w:pPr>
        <w:pStyle w:val="Heading2"/>
      </w:pPr>
      <w:r>
        <w:t>7. Credit Card Tips</w:t>
      </w:r>
    </w:p>
    <w:p>
      <w:pPr>
        <w:pStyle w:val="ListBullet"/>
      </w:pPr>
      <w:r>
        <w:t>Tips added to credit card or debit card transactions are collected by [COMPANY NAME] through the payment processor and distributed to the employee or tip pool;</w:t>
      </w:r>
    </w:p>
    <w:p>
      <w:pPr>
        <w:pStyle w:val="ListBullet"/>
      </w:pPr>
      <w:r>
        <w:t>Payment processing fees: [COMPANY NAME] absorbs the credit card processing fee on tip amounts. The ESA prohibits deducting any amount from an employee's tips (s. 14.1(1)), and the spirit of the law requires that employees receive the full value of the tip left by the customer;</w:t>
      </w:r>
    </w:p>
    <w:p>
      <w:pPr>
        <w:pStyle w:val="ListBullet"/>
      </w:pPr>
      <w:r>
        <w:t>Credit card tips are distributed on the regular pay cycle or as specified by location management (daily, weekly, or bi-weekly). The method must be consistent and communicated to staff.</w:t>
      </w:r>
    </w:p>
    <w:p>
      <w:pPr>
        <w:pStyle w:val="Heading2"/>
      </w:pPr>
      <w:r>
        <w:t>8. Record-Keeping</w:t>
      </w:r>
    </w:p>
    <w:p>
      <w:pPr>
        <w:pStyle w:val="ListBullet"/>
      </w:pPr>
      <w:r>
        <w:t>Daily tip distribution records must be maintained by each location, showing: the date, the total tips received (cash and electronic), the total pooled amount, the distribution by employee, and the method used;</w:t>
      </w:r>
    </w:p>
    <w:p>
      <w:pPr>
        <w:pStyle w:val="ListBullet"/>
      </w:pPr>
      <w:r>
        <w:t>Records must be signed or acknowledged by employees receiving their distribution (or electronically confirmed);</w:t>
      </w:r>
    </w:p>
    <w:p>
      <w:pPr>
        <w:pStyle w:val="ListBullet"/>
      </w:pPr>
      <w:r>
        <w:t>Tip records must be retained for a minimum of 3 years in compliance with ESA record-keeping requirements;</w:t>
      </w:r>
    </w:p>
    <w:p>
      <w:pPr>
        <w:pStyle w:val="ListBullet"/>
      </w:pPr>
      <w:r>
        <w:t>Employees are entitled to review tip pool records upon request.</w:t>
      </w:r>
    </w:p>
    <w:p>
      <w:pPr>
        <w:pStyle w:val="Heading2"/>
      </w:pPr>
      <w:r>
        <w:t>9. Deductions from Tips -- Prohibited</w:t>
      </w:r>
    </w:p>
    <w:p>
      <w:r>
        <w:t>[COMPANY NAME] will NOT deduct any amount from an employee's tips for any reason, including:</w:t>
      </w:r>
    </w:p>
    <w:p>
      <w:pPr>
        <w:pStyle w:val="ListBullet"/>
      </w:pPr>
      <w:r>
        <w:t>Breakage (broken dishes, glasses, equipment);</w:t>
      </w:r>
    </w:p>
    <w:p>
      <w:pPr>
        <w:pStyle w:val="ListBullet"/>
      </w:pPr>
      <w:r>
        <w:t>Walkouts or dine-and-dash incidents (guests leaving without paying);</w:t>
      </w:r>
    </w:p>
    <w:p>
      <w:pPr>
        <w:pStyle w:val="ListBullet"/>
      </w:pPr>
      <w:r>
        <w:t>Cash register shortages;</w:t>
      </w:r>
    </w:p>
    <w:p>
      <w:pPr>
        <w:pStyle w:val="ListBullet"/>
      </w:pPr>
      <w:r>
        <w:t>Uniform costs, cleaning, or dry cleaning;</w:t>
      </w:r>
    </w:p>
    <w:p>
      <w:pPr>
        <w:pStyle w:val="ListBullet"/>
      </w:pPr>
      <w:r>
        <w:t>Returned food orders or guest complaints;</w:t>
      </w:r>
    </w:p>
    <w:p>
      <w:pPr>
        <w:pStyle w:val="ListBullet"/>
      </w:pPr>
      <w:r>
        <w:t>Any other business expense or loss.</w:t>
      </w:r>
    </w:p>
    <w:p>
      <w:r>
        <w:t>These are costs of doing business and are the responsibility of the employer, not the employee. Deducting such costs from tips violates ESA s. 14.1(1).</w:t>
      </w:r>
    </w:p>
    <w:p>
      <w:pPr>
        <w:pStyle w:val="Heading2"/>
      </w:pPr>
      <w:r>
        <w:t>10. Service Charges</w:t>
      </w:r>
    </w:p>
    <w:p>
      <w:r>
        <w:t>When [COMPANY NAME] applies an automatic service charge (e.g., for large parties, private events, or room service):</w:t>
      </w:r>
    </w:p>
    <w:p>
      <w:pPr>
        <w:pStyle w:val="ListBullet"/>
      </w:pPr>
      <w:r>
        <w:t>If the service charge is designated as a tip, it must be distributed to employees in accordance with this policy and the ESA;</w:t>
      </w:r>
    </w:p>
    <w:p>
      <w:pPr>
        <w:pStyle w:val="ListBullet"/>
      </w:pPr>
      <w:r>
        <w:t>If the service charge is NOT designated as a tip, it is revenue to [COMPANY NAME] and is not subject to the tip pooling rules;</w:t>
      </w:r>
    </w:p>
    <w:p>
      <w:pPr>
        <w:pStyle w:val="ListBullet"/>
      </w:pPr>
      <w:r>
        <w:t>The designation of the service charge (tip vs. revenue) must be clearly communicated to both guests (on the menu, check, or event contract) and staff.</w:t>
      </w:r>
    </w:p>
    <w:p>
      <w:pPr>
        <w:pStyle w:val="Heading2"/>
      </w:pPr>
      <w:r>
        <w:t>11. Tax Implications</w:t>
      </w:r>
    </w:p>
    <w:p>
      <w:r>
        <w:t>Tips and gratuities are taxable income under the Income Tax Act (Canada). All employees are responsible for reporting their full tip income to the CRA.</w:t>
      </w:r>
    </w:p>
    <w:p>
      <w:pPr>
        <w:pStyle w:val="ListBullet"/>
      </w:pPr>
      <w:r>
        <w:t>Tips paid through payroll (credit card tips and tip pool distributions paid via pay cheque) are reported by [COMPANY NAME] on the employee's T4 slip and subject to source deductions (income tax, CPP, EI);</w:t>
      </w:r>
    </w:p>
    <w:p>
      <w:pPr>
        <w:pStyle w:val="ListBullet"/>
      </w:pPr>
      <w:r>
        <w:t>Cash tips received directly by the employee are the employee's responsibility to track and report. [COMPANY NAME] reminds all employees that they are legally required to report all tip income on their annual tax return;</w:t>
      </w:r>
    </w:p>
    <w:p>
      <w:pPr>
        <w:pStyle w:val="ListBullet"/>
      </w:pPr>
      <w:r>
        <w:t>Failure to report tip income may result in penalties and interest from the CRA. [COMPANY NAME] is not responsible for an employee's failure to report cash tips;</w:t>
      </w:r>
    </w:p>
    <w:p>
      <w:pPr>
        <w:pStyle w:val="ListBullet"/>
      </w:pPr>
      <w:r>
        <w:t>[COMPANY NAME] will provide guidance and reminders regarding tip income reporting at time of hire and at least annually.</w:t>
      </w:r>
    </w:p>
    <w:p>
      <w:pPr>
        <w:pStyle w:val="Heading2"/>
      </w:pPr>
      <w:r>
        <w:t>12. Transparency and Communication</w:t>
      </w:r>
    </w:p>
    <w:p>
      <w:pPr>
        <w:pStyle w:val="ListBullet"/>
      </w:pPr>
      <w:r>
        <w:t>The tip distribution formula for each location must be posted in the staff area where it is visible to all eligible employees;</w:t>
      </w:r>
    </w:p>
    <w:p>
      <w:pPr>
        <w:pStyle w:val="ListBullet"/>
      </w:pPr>
      <w:r>
        <w:t>Any changes to the tip distribution formula must be communicated in writing to all affected employees with a minimum of 2 weeks' notice before taking effect;</w:t>
      </w:r>
    </w:p>
    <w:p>
      <w:pPr>
        <w:pStyle w:val="ListBullet"/>
      </w:pPr>
      <w:r>
        <w:t>Employees may raise questions or concerns about tip distribution with their manager. If the concern is not resolved, it may be escalated to the VP, Human Resources;</w:t>
      </w:r>
    </w:p>
    <w:p>
      <w:pPr>
        <w:pStyle w:val="ListBullet"/>
      </w:pPr>
      <w:r>
        <w:t>Disputes about tip distribution will be investigated and resolved promptly, with reference to this policy and the ESA.</w:t>
      </w:r>
    </w:p>
    <w:p>
      <w:pPr>
        <w:pStyle w:val="Heading2"/>
      </w:pPr>
      <w:r>
        <w:t>13. Policy Review</w:t>
      </w:r>
    </w:p>
    <w:p>
      <w:r>
        <w:t>This policy shall be reviewed at least annually by the General Manager and VP, Human Resources, and updated as required to reflect changes in legislation, business operations, or best practices.</w:t>
      </w:r>
    </w:p>
    <w:p>
      <w:pPr>
        <w:pStyle w:val="Heading2"/>
      </w:pPr>
      <w:r>
        <w:t>Approval</w:t>
      </w:r>
    </w:p>
    <w:tbl>
      <w:tblPr>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sz w:val="20"/>
              </w:rPr>
              <w:t>Role</w:t>
            </w:r>
          </w:p>
        </w:tc>
        <w:tc>
          <w:tcPr>
            <w:tcW w:type="dxa" w:w="2880"/>
          </w:tcPr>
          <w:p>
            <w:r/>
            <w:r>
              <w:rPr>
                <w:rFonts w:ascii="Calibri" w:hAnsi="Calibri"/>
                <w:b/>
                <w:sz w:val="20"/>
              </w:rPr>
              <w:t>Name</w:t>
            </w:r>
          </w:p>
        </w:tc>
        <w:tc>
          <w:tcPr>
            <w:tcW w:type="dxa" w:w="2880"/>
          </w:tcPr>
          <w:p>
            <w:r/>
            <w:r>
              <w:rPr>
                <w:rFonts w:ascii="Calibri" w:hAnsi="Calibri"/>
                <w:b/>
                <w:sz w:val="20"/>
              </w:rPr>
              <w:t>Signature / Date</w:t>
            </w:r>
          </w:p>
        </w:tc>
      </w:tr>
      <w:tr>
        <w:tc>
          <w:tcPr>
            <w:tcW w:type="dxa" w:w="2880"/>
          </w:tcPr>
          <w:p>
            <w:r>
              <w:rPr>
                <w:rFonts w:ascii="Calibri" w:hAnsi="Calibri"/>
                <w:sz w:val="20"/>
              </w:rPr>
              <w:t>President / CEO</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r>
        <w:tc>
          <w:tcPr>
            <w:tcW w:type="dxa" w:w="2880"/>
          </w:tcPr>
          <w:p>
            <w:r>
              <w:rPr>
                <w:rFonts w:ascii="Calibri" w:hAnsi="Calibri"/>
                <w:sz w:val="20"/>
              </w:rPr>
              <w:t>VP, Human Resources</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r>
        <w:tc>
          <w:tcPr>
            <w:tcW w:type="dxa" w:w="2880"/>
          </w:tcPr>
          <w:p>
            <w:r>
              <w:rPr>
                <w:rFonts w:ascii="Calibri" w:hAnsi="Calibri"/>
                <w:sz w:val="20"/>
              </w:rPr>
              <w:t>Legal Counsel</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bl>
    <w:p>
      <w:pPr>
        <w:pStyle w:val="Heading2"/>
      </w:pPr>
      <w:r>
        <w:t>Employee Acknowledgment</w:t>
      </w:r>
    </w:p>
    <w:p>
      <w:r>
        <w:t>I, ________________________ (print name), acknowledge that I have received, read, and understood this Tip Pooling &amp; Distribution Policy. I agree to comply with the requirements and standards set out in this policy as a condition of my employment with [COMPANY NAME].</w:t>
      </w:r>
    </w:p>
    <w:p/>
    <w:tbl>
      <w:tblPr>
        <w:tblW w:type="auto" w:w="0"/>
        <w:jc w:val="left"/>
        <w:tblLook w:firstColumn="1" w:firstRow="1" w:lastColumn="0" w:lastRow="0" w:noHBand="0" w:noVBand="1" w:val="04A0"/>
      </w:tblPr>
      <w:tblGrid>
        <w:gridCol w:w="4320"/>
        <w:gridCol w:w="4320"/>
      </w:tblGrid>
      <w:tr>
        <w:tc>
          <w:tcPr>
            <w:tcW w:type="dxa" w:w="4320"/>
          </w:tcPr>
          <w:p>
            <w:r>
              <w:rPr>
                <w:rFonts w:ascii="Calibri" w:hAnsi="Calibri"/>
                <w:sz w:val="20"/>
              </w:rPr>
              <w:t>Employee Signature: _________________________</w:t>
            </w:r>
          </w:p>
        </w:tc>
        <w:tc>
          <w:tcPr>
            <w:tcW w:type="dxa" w:w="4320"/>
          </w:tcPr>
          <w:p>
            <w:r>
              <w:rPr>
                <w:rFonts w:ascii="Calibri" w:hAnsi="Calibri"/>
                <w:sz w:val="20"/>
              </w:rPr>
              <w:t>Date: ________________________</w:t>
            </w:r>
          </w:p>
        </w:tc>
      </w:tr>
      <w:tr>
        <w:tc>
          <w:tcPr>
            <w:tcW w:type="dxa" w:w="4320"/>
          </w:tcPr>
          <w:p>
            <w:r>
              <w:rPr>
                <w:rFonts w:ascii="Calibri" w:hAnsi="Calibri"/>
                <w:sz w:val="20"/>
              </w:rPr>
              <w:t>Employee Name (Print): ______________________</w:t>
            </w:r>
          </w:p>
        </w:tc>
        <w:tc>
          <w:tcPr>
            <w:tcW w:type="dxa" w:w="4320"/>
          </w:tcPr>
          <w:p>
            <w:r>
              <w:rPr>
                <w:rFonts w:ascii="Calibri" w:hAnsi="Calibri"/>
                <w:sz w:val="20"/>
              </w:rPr>
              <w:t>Employee ID: _________________</w:t>
            </w:r>
          </w:p>
        </w:tc>
      </w:tr>
      <w:tr>
        <w:tc>
          <w:tcPr>
            <w:tcW w:type="dxa" w:w="4320"/>
          </w:tcPr>
          <w:p>
            <w:r>
              <w:rPr>
                <w:rFonts w:ascii="Calibri" w:hAnsi="Calibri"/>
                <w:sz w:val="20"/>
              </w:rPr>
              <w:t>Department: _________________________________</w:t>
            </w:r>
          </w:p>
        </w:tc>
        <w:tc>
          <w:tcPr>
            <w:tcW w:type="dxa" w:w="4320"/>
          </w:tcPr>
          <w:p>
            <w:r>
              <w:rPr>
                <w:rFonts w:ascii="Calibri" w:hAnsi="Calibri"/>
                <w:sz w:val="20"/>
              </w:rPr>
              <w:t>Position: ____________________</w:t>
            </w:r>
          </w:p>
        </w:tc>
      </w:tr>
    </w:tbl>
    <w:p/>
    <w:p/>
    <w:p>
      <w:pPr>
        <w:jc w:val="center"/>
      </w:pPr>
      <w:r>
        <w:rPr>
          <w:rFonts w:ascii="Calibri" w:hAnsi="Calibri"/>
          <w:color w:val="666666"/>
          <w:sz w:val="18"/>
        </w:rPr>
        <w:t>Prepared by [COMPANY NAME] | Tip Pooling &amp; Distribution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