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Dual-Jurisdiction Template (Canada / United States)</w:t>
      </w:r>
    </w:p>
    <w:p>
      <w:pPr>
        <w:pStyle w:val="Heading1"/>
      </w:pPr>
      <w:r>
        <w:t>Travel and Expense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Guiding Principle</w:t>
      </w:r>
    </w:p>
    <w:p>
      <w:r>
        <w:t>Employees of [COMPANY NAME] are expected to exercise good judgment and fiscal responsibility when incurring travel and business expenses. The standard is: spend the company's money as carefully as you would spend your own. All expenses must be reasonable, necessary, and directly related to company business.</w:t>
      </w:r>
    </w:p>
    <w:p>
      <w:pPr>
        <w:pStyle w:val="Heading2"/>
      </w:pPr>
      <w:r>
        <w:t>2. Scope</w:t>
      </w:r>
    </w:p>
    <w:p>
      <w:r>
        <w:t>This policy applies to all employees, officers, and directors of [COMPANY NAME] who incur expenses while conducting business on behalf of the company. Independent contractors should refer to their service agreements for expense provisions.</w:t>
      </w:r>
    </w:p>
    <w:p>
      <w:pPr>
        <w:pStyle w:val="Heading2"/>
      </w:pPr>
      <w:r>
        <w:t>3. Air Travel Standards</w:t>
      </w:r>
    </w:p>
    <w:tbl>
      <w:tblPr>
        <w:tblW w:type="auto" w:w="0"/>
        <w:jc w:val="left"/>
        <w:tblLook w:firstColumn="1" w:firstRow="1" w:lastColumn="0" w:lastRow="0" w:noHBand="0" w:noVBand="1" w:val="04A0"/>
      </w:tblPr>
      <w:tblGrid>
        <w:gridCol w:w="4320"/>
        <w:gridCol w:w="4320"/>
      </w:tblGrid>
      <w:tr>
        <w:tc>
          <w:tcPr>
            <w:tcW w:type="dxa" w:w="4320"/>
          </w:tcPr>
          <w:p>
            <w:r>
              <w:rPr>
                <w:b/>
              </w:rPr>
              <w:t>Flight Duration / Type</w:t>
            </w:r>
          </w:p>
        </w:tc>
        <w:tc>
          <w:tcPr>
            <w:tcW w:type="dxa" w:w="4320"/>
          </w:tcPr>
          <w:p>
            <w:r>
              <w:rPr>
                <w:b/>
              </w:rPr>
              <w:t>Class of Service</w:t>
            </w:r>
          </w:p>
        </w:tc>
      </w:tr>
      <w:tr>
        <w:tc>
          <w:tcPr>
            <w:tcW w:type="dxa" w:w="4320"/>
          </w:tcPr>
          <w:p>
            <w:r>
              <w:t>Domestic flights under 4 hours</w:t>
            </w:r>
          </w:p>
        </w:tc>
        <w:tc>
          <w:tcPr>
            <w:tcW w:type="dxa" w:w="4320"/>
          </w:tcPr>
          <w:p>
            <w:r>
              <w:t>Economy class</w:t>
            </w:r>
          </w:p>
        </w:tc>
      </w:tr>
      <w:tr>
        <w:tc>
          <w:tcPr>
            <w:tcW w:type="dxa" w:w="4320"/>
          </w:tcPr>
          <w:p>
            <w:r>
              <w:t>Domestic flights 4+ hours</w:t>
            </w:r>
          </w:p>
        </w:tc>
        <w:tc>
          <w:tcPr>
            <w:tcW w:type="dxa" w:w="4320"/>
          </w:tcPr>
          <w:p>
            <w:r>
              <w:t>Economy Plus / Premium Economy (where available)</w:t>
            </w:r>
          </w:p>
        </w:tc>
      </w:tr>
      <w:tr>
        <w:tc>
          <w:tcPr>
            <w:tcW w:type="dxa" w:w="4320"/>
          </w:tcPr>
          <w:p>
            <w:r>
              <w:t>International flights under 6 hours</w:t>
            </w:r>
          </w:p>
        </w:tc>
        <w:tc>
          <w:tcPr>
            <w:tcW w:type="dxa" w:w="4320"/>
          </w:tcPr>
          <w:p>
            <w:r>
              <w:t>Economy Plus / Premium Economy</w:t>
            </w:r>
          </w:p>
        </w:tc>
      </w:tr>
      <w:tr>
        <w:tc>
          <w:tcPr>
            <w:tcW w:type="dxa" w:w="4320"/>
          </w:tcPr>
          <w:p>
            <w:r>
              <w:t>International flights 6+ hours</w:t>
            </w:r>
          </w:p>
        </w:tc>
        <w:tc>
          <w:tcPr>
            <w:tcW w:type="dxa" w:w="4320"/>
          </w:tcPr>
          <w:p>
            <w:r>
              <w:t>Business class (with VP-level pre-approval)</w:t>
            </w:r>
          </w:p>
        </w:tc>
      </w:tr>
    </w:tbl>
    <w:p/>
    <w:p>
      <w:pPr>
        <w:pStyle w:val="ListBullet"/>
      </w:pPr>
      <w:r>
        <w:t>Book flights at least 14 days in advance when possible to secure the best fares;</w:t>
      </w:r>
    </w:p>
    <w:p>
      <w:pPr>
        <w:pStyle w:val="ListBullet"/>
      </w:pPr>
      <w:r>
        <w:t>Use the company's preferred booking tool or travel agency: [INSERT DETAILS];</w:t>
      </w:r>
    </w:p>
    <w:p>
      <w:pPr>
        <w:pStyle w:val="ListBullet"/>
      </w:pPr>
      <w:r>
        <w:t>Upgrades at the employee's personal expense are permitted;</w:t>
      </w:r>
    </w:p>
    <w:p>
      <w:pPr>
        <w:pStyle w:val="ListBullet"/>
      </w:pPr>
      <w:r>
        <w:t>Frequent flyer points earned on company travel are the employee's to keep, but flight selection must prioritize cost and schedule over points accumulation.</w:t>
      </w:r>
    </w:p>
    <w:p>
      <w:pPr>
        <w:pStyle w:val="Heading2"/>
      </w:pPr>
      <w:r>
        <w:t>4. Hotel and Accommodation Standards</w:t>
      </w:r>
    </w:p>
    <w:p>
      <w:pPr>
        <w:pStyle w:val="ListBullet"/>
      </w:pPr>
      <w:r>
        <w:t>Standard room at a 3- to 4-star hotel (or equivalent) is the guideline;</w:t>
      </w:r>
    </w:p>
    <w:p>
      <w:pPr>
        <w:pStyle w:val="ListBullet"/>
      </w:pPr>
      <w:r>
        <w:t>Select hotels in safe, convenient locations with proximity to the business destination;</w:t>
      </w:r>
    </w:p>
    <w:p>
      <w:pPr>
        <w:pStyle w:val="ListBullet"/>
      </w:pPr>
      <w:r>
        <w:t>Use the company's preferred hotel program or negotiated rates where available;</w:t>
      </w:r>
    </w:p>
    <w:p>
      <w:pPr>
        <w:pStyle w:val="ListBullet"/>
      </w:pPr>
      <w:r>
        <w:t>Extended stays (5+ nights): Seek corporate-rate or serviced apartment options;</w:t>
      </w:r>
    </w:p>
    <w:p>
      <w:pPr>
        <w:pStyle w:val="ListBullet"/>
      </w:pPr>
      <w:r>
        <w:t>Room upgrades at personal expense are permitted;</w:t>
      </w:r>
    </w:p>
    <w:p>
      <w:pPr>
        <w:pStyle w:val="ListBullet"/>
      </w:pPr>
      <w:r>
        <w:t>Incidental charges (minibar, pay-per-view, spa) are not reimbursable.</w:t>
      </w:r>
    </w:p>
    <w:p>
      <w:pPr>
        <w:pStyle w:val="Heading2"/>
      </w:pPr>
      <w:r>
        <w:t>5. Meals and Per Diem</w:t>
      </w:r>
    </w:p>
    <w:p>
      <w:pPr>
        <w:pStyle w:val="Heading3"/>
      </w:pPr>
      <w:r>
        <w:t>5.1 Per Diem Option</w:t>
      </w:r>
    </w:p>
    <w:p>
      <w:r>
        <w:t>[COMPANY NAME] offers a per diem allowance for meals and incidental expenses during business travel. The per diem rate is:</w:t>
      </w:r>
    </w:p>
    <w:tbl>
      <w:tblPr>
        <w:tblW w:type="auto" w:w="0"/>
        <w:tblLook w:firstColumn="1" w:firstRow="1" w:lastColumn="0" w:lastRow="0" w:noHBand="0" w:noVBand="1" w:val="04A0"/>
      </w:tblPr>
      <w:tblGrid>
        <w:gridCol w:w="4320"/>
        <w:gridCol w:w="4320"/>
      </w:tblGrid>
      <w:tr>
        <w:tc>
          <w:tcPr>
            <w:tcW w:type="dxa" w:w="4320"/>
          </w:tcPr>
          <w:p>
            <w:r>
              <w:rPr>
                <w:b/>
              </w:rPr>
              <w:t>Location</w:t>
            </w:r>
          </w:p>
        </w:tc>
        <w:tc>
          <w:tcPr>
            <w:tcW w:type="dxa" w:w="4320"/>
          </w:tcPr>
          <w:p>
            <w:r>
              <w:rPr>
                <w:b/>
              </w:rPr>
              <w:t>Daily Rate</w:t>
            </w:r>
          </w:p>
        </w:tc>
      </w:tr>
      <w:tr>
        <w:tc>
          <w:tcPr>
            <w:tcW w:type="dxa" w:w="4320"/>
          </w:tcPr>
          <w:p>
            <w:r>
              <w:t>Domestic -- Standard</w:t>
            </w:r>
          </w:p>
        </w:tc>
        <w:tc>
          <w:tcPr>
            <w:tcW w:type="dxa" w:w="4320"/>
          </w:tcPr>
          <w:p>
            <w:r>
              <w:t>[$ AMOUNT]</w:t>
            </w:r>
          </w:p>
        </w:tc>
      </w:tr>
      <w:tr>
        <w:tc>
          <w:tcPr>
            <w:tcW w:type="dxa" w:w="4320"/>
          </w:tcPr>
          <w:p>
            <w:r>
              <w:t>Domestic -- Major Metro (NYC, SF, Toronto, Vancouver)</w:t>
            </w:r>
          </w:p>
        </w:tc>
        <w:tc>
          <w:tcPr>
            <w:tcW w:type="dxa" w:w="4320"/>
          </w:tcPr>
          <w:p>
            <w:r>
              <w:t>[$ AMOUNT]</w:t>
            </w:r>
          </w:p>
        </w:tc>
      </w:tr>
      <w:tr>
        <w:tc>
          <w:tcPr>
            <w:tcW w:type="dxa" w:w="4320"/>
          </w:tcPr>
          <w:p>
            <w:r>
              <w:t>International</w:t>
            </w:r>
          </w:p>
        </w:tc>
        <w:tc>
          <w:tcPr>
            <w:tcW w:type="dxa" w:w="4320"/>
          </w:tcPr>
          <w:p>
            <w:r>
              <w:t>[$ AMOUNT or refer to government rates]</w:t>
            </w:r>
          </w:p>
        </w:tc>
      </w:tr>
    </w:tbl>
    <w:p>
      <w:pPr>
        <w:pStyle w:val="Heading3"/>
      </w:pPr>
      <w:r>
        <w:t>5.2 Actual Expense Option</w:t>
      </w:r>
    </w:p>
    <w:p>
      <w:r>
        <w:t>Alternatively, employees may claim actual meal expenses with receipts. Reasonable amounts are expected. Alcohol is reimbursable only when entertaining clients, subject to moderation and good judgment.</w:t>
      </w:r>
    </w:p>
    <w:p>
      <w:pPr>
        <w:pStyle w:val="Heading2"/>
      </w:pPr>
      <w:r>
        <w:t>6. Ground Transportation</w:t>
      </w:r>
    </w:p>
    <w:p>
      <w:pPr>
        <w:pStyle w:val="ListBullet"/>
      </w:pPr>
      <w:r>
        <w:t>Rental cars: Mid-size or smaller. Full insurance coverage through the company's corporate card or rental agreement. Fuel must be prepaid or refueled before return;</w:t>
      </w:r>
    </w:p>
    <w:p>
      <w:pPr>
        <w:pStyle w:val="ListBullet"/>
      </w:pPr>
      <w:r>
        <w:t>Rideshare / taxi: Permitted for airport transfers, client meetings, and situations where rental car or public transit is not practical;</w:t>
      </w:r>
    </w:p>
    <w:p>
      <w:pPr>
        <w:pStyle w:val="ListBullet"/>
      </w:pPr>
      <w:r>
        <w:t>Personal vehicle: Reimbursed at the applicable mileage rate (see Section 6.1);</w:t>
      </w:r>
    </w:p>
    <w:p>
      <w:pPr>
        <w:pStyle w:val="ListBullet"/>
      </w:pPr>
      <w:r>
        <w:t>Public transit: Always reimbursable. Preferred when practical;</w:t>
      </w:r>
    </w:p>
    <w:p>
      <w:pPr>
        <w:pStyle w:val="ListBullet"/>
      </w:pPr>
      <w:r>
        <w:t>Parking and tolls: Reimbursable with receipts.</w:t>
      </w:r>
    </w:p>
    <w:p>
      <w:pPr>
        <w:pStyle w:val="Heading3"/>
      </w:pPr>
      <w:r>
        <w:t>6.1 Mileage Reimbursement Rates</w:t>
      </w:r>
    </w:p>
    <w:tbl>
      <w:tblPr>
        <w:tblW w:type="auto" w:w="0"/>
        <w:tblLook w:firstColumn="1" w:firstRow="1" w:lastColumn="0" w:lastRow="0" w:noHBand="0" w:noVBand="1" w:val="04A0"/>
      </w:tblPr>
      <w:tblGrid>
        <w:gridCol w:w="4320"/>
        <w:gridCol w:w="4320"/>
      </w:tblGrid>
      <w:tr>
        <w:tc>
          <w:tcPr>
            <w:tcW w:type="dxa" w:w="4320"/>
          </w:tcPr>
          <w:p>
            <w:r>
              <w:rPr>
                <w:b/>
              </w:rPr>
              <w:t>Jurisdiction</w:t>
            </w:r>
          </w:p>
        </w:tc>
        <w:tc>
          <w:tcPr>
            <w:tcW w:type="dxa" w:w="4320"/>
          </w:tcPr>
          <w:p>
            <w:r>
              <w:rPr>
                <w:b/>
              </w:rPr>
              <w:t>Rate per Kilometre / Mile</w:t>
            </w:r>
          </w:p>
        </w:tc>
      </w:tr>
      <w:tr>
        <w:tc>
          <w:tcPr>
            <w:tcW w:type="dxa" w:w="4320"/>
          </w:tcPr>
          <w:p>
            <w:r>
              <w:t>Canada (CRA rate)</w:t>
            </w:r>
          </w:p>
        </w:tc>
        <w:tc>
          <w:tcPr>
            <w:tcW w:type="dxa" w:w="4320"/>
          </w:tcPr>
          <w:p>
            <w:r>
              <w:t>[INSERT CURRENT CRA RATE -- e.g., $0.70/km first 5,000 km, $0.64/km thereafter]</w:t>
            </w:r>
          </w:p>
        </w:tc>
      </w:tr>
      <w:tr>
        <w:tc>
          <w:tcPr>
            <w:tcW w:type="dxa" w:w="4320"/>
          </w:tcPr>
          <w:p>
            <w:r>
              <w:t>United States (IRS rate)</w:t>
            </w:r>
          </w:p>
        </w:tc>
        <w:tc>
          <w:tcPr>
            <w:tcW w:type="dxa" w:w="4320"/>
          </w:tcPr>
          <w:p>
            <w:r>
              <w:t>[INSERT CURRENT IRS RATE -- e.g., $0.67/mile]</w:t>
            </w:r>
          </w:p>
        </w:tc>
      </w:tr>
    </w:tbl>
    <w:p/>
    <w:p>
      <w:r>
        <w:t>Mileage rates are updated annually based on CRA and IRS published rates. The current rates are available from [Finance / HR / INSERT LOCATION].</w:t>
      </w:r>
    </w:p>
    <w:p>
      <w:r>
        <w:t>Note: Mileage rates shown in brackets are examples only. Verify current rates at canada.ca/revenue-agency (Canada) or irs.gov (United States) before adopting this policy.</w:t>
      </w:r>
    </w:p>
    <w:p>
      <w:pPr>
        <w:pStyle w:val="Heading2"/>
      </w:pPr>
      <w:r>
        <w:t>7. Reimbursable Expenses</w:t>
      </w:r>
    </w:p>
    <w:p>
      <w:pPr>
        <w:pStyle w:val="ListBullet"/>
      </w:pPr>
      <w:r>
        <w:t>Airfare, rail, and ground transportation (as per Sections 3-6);</w:t>
      </w:r>
    </w:p>
    <w:p>
      <w:pPr>
        <w:pStyle w:val="ListBullet"/>
      </w:pPr>
      <w:r>
        <w:t>Accommodation (as per Section 4);</w:t>
      </w:r>
    </w:p>
    <w:p>
      <w:pPr>
        <w:pStyle w:val="ListBullet"/>
      </w:pPr>
      <w:r>
        <w:t>Meals (per diem or actual, as per Section 5);</w:t>
      </w:r>
    </w:p>
    <w:p>
      <w:pPr>
        <w:pStyle w:val="ListBullet"/>
      </w:pPr>
      <w:r>
        <w:t>Business-related phone calls, internet access, and data charges while travelling;</w:t>
      </w:r>
    </w:p>
    <w:p>
      <w:pPr>
        <w:pStyle w:val="ListBullet"/>
      </w:pPr>
      <w:r>
        <w:t>Conference registration fees (pre-approved);</w:t>
      </w:r>
    </w:p>
    <w:p>
      <w:pPr>
        <w:pStyle w:val="ListBullet"/>
      </w:pPr>
      <w:r>
        <w:t>Baggage fees (one checked bag per trip);</w:t>
      </w:r>
    </w:p>
    <w:p>
      <w:pPr>
        <w:pStyle w:val="ListBullet"/>
      </w:pPr>
      <w:r>
        <w:t>Visa and passport fees for required business travel;</w:t>
      </w:r>
    </w:p>
    <w:p>
      <w:pPr>
        <w:pStyle w:val="ListBullet"/>
      </w:pPr>
      <w:r>
        <w:t>Laundry / dry cleaning for trips exceeding 5 consecutive days;</w:t>
      </w:r>
    </w:p>
    <w:p>
      <w:pPr>
        <w:pStyle w:val="ListBullet"/>
      </w:pPr>
      <w:r>
        <w:t>Tips and gratuities (reasonable -- 15-20% for meals, standard for services);</w:t>
      </w:r>
    </w:p>
    <w:p>
      <w:pPr>
        <w:pStyle w:val="ListBullet"/>
      </w:pPr>
      <w:r>
        <w:t>Travel insurance premiums (when not covered by the corporate card).</w:t>
      </w:r>
    </w:p>
    <w:p>
      <w:pPr>
        <w:pStyle w:val="Heading2"/>
      </w:pPr>
      <w:r>
        <w:t>8. Non-Reimbursable Expenses</w:t>
      </w:r>
    </w:p>
    <w:p>
      <w:pPr>
        <w:pStyle w:val="ListBullet"/>
      </w:pPr>
      <w:r>
        <w:t>Personal entertainment (movies, sightseeing, personal shopping);</w:t>
      </w:r>
    </w:p>
    <w:p>
      <w:pPr>
        <w:pStyle w:val="ListBullet"/>
      </w:pPr>
      <w:r>
        <w:t>Minibar, in-room movies, and hotel incidentals of a personal nature;</w:t>
      </w:r>
    </w:p>
    <w:p>
      <w:pPr>
        <w:pStyle w:val="ListBullet"/>
      </w:pPr>
      <w:r>
        <w:t>Spa, gym, or wellness services;</w:t>
      </w:r>
    </w:p>
    <w:p>
      <w:pPr>
        <w:pStyle w:val="ListBullet"/>
      </w:pPr>
      <w:r>
        <w:t>Traffic violations, parking tickets, or towing charges;</w:t>
      </w:r>
    </w:p>
    <w:p>
      <w:pPr>
        <w:pStyle w:val="ListBullet"/>
      </w:pPr>
      <w:r>
        <w:t>Travel insurance for personal side trips;</w:t>
      </w:r>
    </w:p>
    <w:p>
      <w:pPr>
        <w:pStyle w:val="ListBullet"/>
      </w:pPr>
      <w:r>
        <w:t>First-class upgrades (unless medically required with documentation);</w:t>
      </w:r>
    </w:p>
    <w:p>
      <w:pPr>
        <w:pStyle w:val="ListBullet"/>
      </w:pPr>
      <w:r>
        <w:t>Expenses for a travelling companion (spouse, partner, family member) unless pre-approved for a specific business purpose;</w:t>
      </w:r>
    </w:p>
    <w:p>
      <w:pPr>
        <w:pStyle w:val="ListBullet"/>
      </w:pPr>
      <w:r>
        <w:t>Losses due to theft, unless a police report is filed;</w:t>
      </w:r>
    </w:p>
    <w:p>
      <w:pPr>
        <w:pStyle w:val="ListBullet"/>
      </w:pPr>
      <w:r>
        <w:t>Any expense lacking a valid receipt (for claims over $[THRESHOLD]).</w:t>
      </w:r>
    </w:p>
    <w:p>
      <w:pPr>
        <w:pStyle w:val="Heading2"/>
      </w:pPr>
      <w:r>
        <w:t>9. Client-Funded Travel</w:t>
      </w:r>
    </w:p>
    <w:p>
      <w:r>
        <w:t>When travel is funded by a client, employees must comply with both this policy and the client's travel policy. In the event of a conflict, the more restrictive policy applies unless otherwise agreed in the client contract. Employees must:</w:t>
      </w:r>
    </w:p>
    <w:p>
      <w:pPr>
        <w:pStyle w:val="ListBullet"/>
      </w:pPr>
      <w:r>
        <w:t>Obtain written confirmation of the client's travel and expense policy before travelling;</w:t>
      </w:r>
    </w:p>
    <w:p>
      <w:pPr>
        <w:pStyle w:val="ListBullet"/>
      </w:pPr>
      <w:r>
        <w:t>Submit expenses to the client in accordance with the client's requirements;</w:t>
      </w:r>
    </w:p>
    <w:p>
      <w:pPr>
        <w:pStyle w:val="ListBullet"/>
      </w:pPr>
      <w:r>
        <w:t>Provide a copy of client-submitted expense reports to [COMPANY NAME] Finance for tracking;</w:t>
      </w:r>
    </w:p>
    <w:p>
      <w:pPr>
        <w:pStyle w:val="ListBullet"/>
      </w:pPr>
      <w:r>
        <w:t>Never claim the same expense from both the client and the company.</w:t>
      </w:r>
    </w:p>
    <w:p>
      <w:pPr>
        <w:pStyle w:val="Heading2"/>
      </w:pPr>
      <w:r>
        <w:t>10. Expense Reporting Procedure</w:t>
      </w:r>
    </w:p>
    <w:p>
      <w:pPr>
        <w:pStyle w:val="Heading3"/>
      </w:pPr>
      <w:r>
        <w:t>10.1 Submission Timeline</w:t>
      </w:r>
    </w:p>
    <w:p>
      <w:r>
        <w:t>Expense reports must be submitted within 30 calendar days of the last day of the trip or the date the expense was incurred. Reports submitted more than 60 days after the expense date may not be reimbursed.</w:t>
      </w:r>
    </w:p>
    <w:p>
      <w:pPr>
        <w:pStyle w:val="Heading3"/>
      </w:pPr>
      <w:r>
        <w:t>10.2 Receipts</w:t>
      </w:r>
    </w:p>
    <w:p>
      <w:r>
        <w:t>Original itemized receipts are required for all expenses over $[THRESHOLD -- e.g., $25 CAD / $25 USD]. Credit card statements alone are not sufficient. Digital photos or scans of receipts are accepted.</w:t>
      </w:r>
    </w:p>
    <w:p>
      <w:pPr>
        <w:pStyle w:val="Heading3"/>
      </w:pPr>
      <w:r>
        <w:t>10.3 Documentation</w:t>
      </w:r>
    </w:p>
    <w:p>
      <w:r>
        <w:t>Each expense report must include:</w:t>
      </w:r>
    </w:p>
    <w:p>
      <w:pPr>
        <w:pStyle w:val="ListBullet"/>
      </w:pPr>
      <w:r>
        <w:t>Purpose of the trip or expense;</w:t>
      </w:r>
    </w:p>
    <w:p>
      <w:pPr>
        <w:pStyle w:val="ListBullet"/>
      </w:pPr>
      <w:r>
        <w:t>Dates, destinations, and business contacts/meetings;</w:t>
      </w:r>
    </w:p>
    <w:p>
      <w:pPr>
        <w:pStyle w:val="ListBullet"/>
      </w:pPr>
      <w:r>
        <w:t>Itemized receipts for each expense;</w:t>
      </w:r>
    </w:p>
    <w:p>
      <w:pPr>
        <w:pStyle w:val="ListBullet"/>
      </w:pPr>
      <w:r>
        <w:t>Currency conversion notation (for international expenses);</w:t>
      </w:r>
    </w:p>
    <w:p>
      <w:pPr>
        <w:pStyle w:val="ListBullet"/>
      </w:pPr>
      <w:r>
        <w:t>Manager approval signature.</w:t>
      </w:r>
    </w:p>
    <w:p>
      <w:pPr>
        <w:pStyle w:val="Heading3"/>
      </w:pPr>
      <w:r>
        <w:t>10.4 Approval and Reimbursement</w:t>
      </w:r>
    </w:p>
    <w:p>
      <w:r>
        <w:t>Expense reports are approved by the employee's direct manager. Finance will process approved reports and issue reimbursement within [TIMEFRAME -- e.g., 10 business days] of approval.</w:t>
      </w:r>
    </w:p>
    <w:p>
      <w:pPr>
        <w:pStyle w:val="Heading2"/>
      </w:pPr>
      <w:r>
        <w:t>11. General Principle</w:t>
      </w:r>
    </w:p>
    <w:p>
      <w:r>
        <w:t>When in doubt, ask yourself: "Would I be comfortable explaining this expense to my manager, Finance, and the CEO?" If the answer is yes, proceed. If not, choose a more conservative option or seek pre-approval.</w:t>
      </w:r>
    </w:p>
    <w:p>
      <w:r>
        <w:t>[COMPANY NAME] reserves the right to deny reimbursement for expenses that are deemed unreasonable, excessive, or not in compliance with this policy.</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Travel and Expense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