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A3A5C"/>
          <w:sz w:val="56"/>
        </w:rPr>
        <w:t>HEALTHCARE SOP PACK</w:t>
      </w:r>
    </w:p>
    <w:p>
      <w:pPr>
        <w:jc w:val="center"/>
      </w:pPr>
      <w:r>
        <w:rPr>
          <w:rFonts w:ascii="Calibri" w:hAnsi="Calibri"/>
          <w:color w:val="2C7BE5"/>
          <w:sz w:val="28"/>
        </w:rPr>
        <w:t>5 Standard Operating Procedures for Healthcare Organizations</w:t>
      </w:r>
    </w:p>
    <w:p>
      <w:pPr>
        <w:jc w:val="center"/>
      </w:pPr>
      <w:r>
        <w:rPr>
          <w:rFonts w:ascii="Calibri" w:hAnsi="Calibri"/>
          <w:sz w:val="22"/>
        </w:rPr>
        <w:t>SOP-HC-001: Patient Intake &amp; Registration</w:t>
        <w:br/>
        <w:t>SOP-HC-002: Medication Administration</w:t>
        <w:br/>
        <w:t>SOP-HC-003: Infection Control &amp; Prevention</w:t>
        <w:br/>
        <w:t>SOP-HC-004: Medical Records Management</w:t>
        <w:br/>
        <w:t>SOP-HC-005: Emergency Response &amp; Code Procedures</w:t>
      </w:r>
    </w:p>
    <w:p>
      <w:pPr>
        <w:jc w:val="center"/>
      </w:pPr>
      <w:r>
        <w:rPr>
          <w:color w:val="2C7BE5"/>
          <w:sz w:val="18"/>
        </w:rPr>
        <w:br/>
        <w:br/>
        <w:t>Built with Pure Work AI</w:t>
      </w:r>
    </w:p>
    <w:p>
      <w:r>
        <w:br w:type="page"/>
      </w:r>
    </w:p>
    <w:p>
      <w:pPr>
        <w:pStyle w:val="Heading1"/>
      </w:pPr>
      <w:r>
        <w:t>SOP-HC-001: Patient Intake &amp; Registration</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3"/>
          </w:tcPr>
          <w:p>
            <w:r>
              <w:rPr>
                <w:rFonts w:ascii="Calibri" w:hAnsi="Calibri"/>
                <w:b/>
                <w:color w:val="1A3A5C"/>
                <w:sz w:val="18"/>
              </w:rPr>
              <w:t>Document Number:</w:t>
            </w:r>
          </w:p>
        </w:tc>
        <w:tc>
          <w:tcPr>
            <w:tcW w:type="dxa" w:w="2160"/>
          </w:tcPr>
          <w:p>
            <w:r>
              <w:rPr>
                <w:rFonts w:ascii="Calibri" w:hAnsi="Calibri"/>
                <w:sz w:val="18"/>
              </w:rPr>
              <w:t>SOP-HC-001</w:t>
            </w:r>
          </w:p>
        </w:tc>
        <w:tc>
          <w:tcPr>
            <w:tcW w:type="dxa" w:w="2160"/>
            <w:shd w:fill="E8EDF3"/>
          </w:tcPr>
          <w:p>
            <w:r>
              <w:rPr>
                <w:rFonts w:ascii="Calibri" w:hAnsi="Calibri"/>
                <w:b/>
                <w:color w:val="1A3A5C"/>
                <w:sz w:val="18"/>
              </w:rPr>
              <w:t>Effective Date:</w:t>
            </w:r>
          </w:p>
        </w:tc>
        <w:tc>
          <w:tcPr>
            <w:tcW w:type="dxa" w:w="2160"/>
          </w:tcPr>
          <w:p>
            <w:r>
              <w:rPr>
                <w:rFonts w:ascii="Calibri" w:hAnsi="Calibri"/>
                <w:sz w:val="18"/>
              </w:rPr>
              <w:t>[DATE]</w:t>
            </w:r>
          </w:p>
        </w:tc>
      </w:tr>
      <w:tr>
        <w:tc>
          <w:tcPr>
            <w:tcW w:type="dxa" w:w="2160"/>
            <w:shd w:fill="E8EDF3"/>
          </w:tcPr>
          <w:p>
            <w:r>
              <w:rPr>
                <w:rFonts w:ascii="Calibri" w:hAnsi="Calibri"/>
                <w:b/>
                <w:color w:val="1A3A5C"/>
                <w:sz w:val="18"/>
              </w:rPr>
              <w:t>Title:</w:t>
            </w:r>
          </w:p>
        </w:tc>
        <w:tc>
          <w:tcPr>
            <w:tcW w:type="dxa" w:w="2160"/>
          </w:tcPr>
          <w:p>
            <w:r>
              <w:rPr>
                <w:rFonts w:ascii="Calibri" w:hAnsi="Calibri"/>
                <w:sz w:val="18"/>
              </w:rPr>
              <w:t>Patient Intake &amp; Registration</w:t>
            </w:r>
          </w:p>
        </w:tc>
        <w:tc>
          <w:tcPr>
            <w:tcW w:type="dxa" w:w="2160"/>
            <w:shd w:fill="E8EDF3"/>
          </w:tcPr>
          <w:p>
            <w:r>
              <w:rPr>
                <w:rFonts w:ascii="Calibri" w:hAnsi="Calibri"/>
                <w:b/>
                <w:color w:val="1A3A5C"/>
                <w:sz w:val="18"/>
              </w:rPr>
              <w:t>Revision:</w:t>
            </w:r>
          </w:p>
        </w:tc>
        <w:tc>
          <w:tcPr>
            <w:tcW w:type="dxa" w:w="2160"/>
          </w:tcPr>
          <w:p>
            <w:r>
              <w:rPr>
                <w:rFonts w:ascii="Calibri" w:hAnsi="Calibri"/>
                <w:sz w:val="18"/>
              </w:rPr>
              <w:t>1.0</w:t>
            </w:r>
          </w:p>
        </w:tc>
      </w:tr>
      <w:tr>
        <w:tc>
          <w:tcPr>
            <w:tcW w:type="dxa" w:w="2160"/>
            <w:shd w:fill="E8EDF3"/>
          </w:tcPr>
          <w:p>
            <w:r>
              <w:rPr>
                <w:rFonts w:ascii="Calibri" w:hAnsi="Calibri"/>
                <w:b/>
                <w:color w:val="1A3A5C"/>
                <w:sz w:val="18"/>
              </w:rPr>
              <w:t>Department:</w:t>
            </w:r>
          </w:p>
        </w:tc>
        <w:tc>
          <w:tcPr>
            <w:tcW w:type="dxa" w:w="2160"/>
          </w:tcPr>
          <w:p>
            <w:r>
              <w:rPr>
                <w:rFonts w:ascii="Calibri" w:hAnsi="Calibri"/>
                <w:sz w:val="18"/>
              </w:rPr>
              <w:t>Patient Registration / Front Desk</w:t>
            </w:r>
          </w:p>
        </w:tc>
        <w:tc>
          <w:tcPr>
            <w:tcW w:type="dxa" w:w="2160"/>
            <w:shd w:fill="E8EDF3"/>
          </w:tcPr>
          <w:p>
            <w:r>
              <w:rPr>
                <w:rFonts w:ascii="Calibri" w:hAnsi="Calibri"/>
                <w:b/>
                <w:color w:val="1A3A5C"/>
                <w:sz w:val="18"/>
              </w:rPr>
              <w:t>Page:</w:t>
            </w:r>
          </w:p>
        </w:tc>
        <w:tc>
          <w:tcPr>
            <w:tcW w:type="dxa" w:w="2160"/>
          </w:tcPr>
          <w:p>
            <w:r>
              <w:rPr>
                <w:rFonts w:ascii="Calibri" w:hAnsi="Calibri"/>
                <w:sz w:val="18"/>
              </w:rPr>
              <w:t>[X] of [Y]</w:t>
            </w:r>
          </w:p>
        </w:tc>
      </w:tr>
      <w:tr>
        <w:tc>
          <w:tcPr>
            <w:tcW w:type="dxa" w:w="2160"/>
            <w:shd w:fill="E8EDF3"/>
          </w:tcPr>
          <w:p>
            <w:r>
              <w:rPr>
                <w:rFonts w:ascii="Calibri" w:hAnsi="Calibri"/>
                <w:b/>
                <w:color w:val="1A3A5C"/>
                <w:sz w:val="18"/>
              </w:rPr>
              <w:t>Prepared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Reviewed By:</w:t>
            </w:r>
          </w:p>
        </w:tc>
        <w:tc>
          <w:tcPr>
            <w:tcW w:type="dxa" w:w="2160"/>
          </w:tcPr>
          <w:p>
            <w:r>
              <w:rPr>
                <w:rFonts w:ascii="Calibri" w:hAnsi="Calibri"/>
                <w:sz w:val="18"/>
              </w:rPr>
              <w:t>[NAME / TITLE]</w:t>
            </w:r>
          </w:p>
        </w:tc>
      </w:tr>
      <w:tr>
        <w:tc>
          <w:tcPr>
            <w:tcW w:type="dxa" w:w="2160"/>
            <w:shd w:fill="E8EDF3"/>
          </w:tcPr>
          <w:p>
            <w:r>
              <w:rPr>
                <w:rFonts w:ascii="Calibri" w:hAnsi="Calibri"/>
                <w:b/>
                <w:color w:val="1A3A5C"/>
                <w:sz w:val="18"/>
              </w:rPr>
              <w:t>Approved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Next Review:</w:t>
            </w:r>
          </w:p>
        </w:tc>
        <w:tc>
          <w:tcPr>
            <w:tcW w:type="dxa" w:w="2160"/>
          </w:tcPr>
          <w:p>
            <w:r>
              <w:rPr>
                <w:rFonts w:ascii="Calibri" w:hAnsi="Calibri"/>
                <w:sz w:val="18"/>
              </w:rPr>
              <w:t>[DATE + 1 YEAR]</w:t>
            </w:r>
          </w:p>
        </w:tc>
      </w:tr>
      <w:tr>
        <w:tc>
          <w:tcPr>
            <w:tcW w:type="dxa" w:w="2160"/>
            <w:shd w:fill="E8EDF3"/>
          </w:tcPr>
          <w:p>
            <w:r>
              <w:rPr>
                <w:rFonts w:ascii="Calibri" w:hAnsi="Calibri"/>
                <w:b/>
                <w:color w:val="1A3A5C"/>
                <w:sz w:val="18"/>
              </w:rPr>
              <w:t>Supersedes:</w:t>
            </w:r>
          </w:p>
        </w:tc>
        <w:tc>
          <w:tcPr>
            <w:tcW w:type="dxa" w:w="2160"/>
          </w:tcPr>
          <w:p>
            <w:r>
              <w:rPr>
                <w:rFonts w:ascii="Calibri" w:hAnsi="Calibri"/>
                <w:sz w:val="18"/>
              </w:rPr>
              <w:t>N/A — New Document</w:t>
            </w:r>
          </w:p>
        </w:tc>
        <w:tc>
          <w:tcPr>
            <w:tcW w:type="dxa" w:w="2160"/>
            <w:shd w:fill="E8EDF3"/>
          </w:tcPr>
          <w:p>
            <w:r>
              <w:rPr>
                <w:rFonts w:ascii="Calibri" w:hAnsi="Calibri"/>
                <w:b/>
                <w:color w:val="1A3A5C"/>
                <w:sz w:val="18"/>
              </w:rPr>
              <w:t>Classification:</w:t>
            </w:r>
          </w:p>
        </w:tc>
        <w:tc>
          <w:tcPr>
            <w:tcW w:type="dxa" w:w="2160"/>
          </w:tcPr>
          <w:p>
            <w:r>
              <w:rPr>
                <w:rFonts w:ascii="Calibri" w:hAnsi="Calibri"/>
                <w:sz w:val="18"/>
              </w:rPr>
              <w:t>Internal</w:t>
            </w:r>
          </w:p>
        </w:tc>
      </w:tr>
    </w:tbl>
    <w:p>
      <w:pPr>
        <w:pStyle w:val="Heading2"/>
      </w:pPr>
      <w:r>
        <w:t>2. Purpose</w:t>
      </w:r>
    </w:p>
    <w:p>
      <w:r>
        <w:rPr>
          <w:rFonts w:ascii="Calibri" w:hAnsi="Calibri"/>
          <w:sz w:val="20"/>
        </w:rPr>
        <w:t>To establish a standardized process for greeting, registering, and preparing patients for clinical services. This SOP ensures that all demographic, insurance, and clinical intake information is collected accurately, privacy requirements are met, and patients are transitioned efficiently to clinical staff.</w:t>
      </w:r>
    </w:p>
    <w:p>
      <w:pPr>
        <w:pStyle w:val="Heading2"/>
      </w:pPr>
      <w:r>
        <w:t>3. Scope</w:t>
      </w:r>
    </w:p>
    <w:p>
      <w:r>
        <w:rPr>
          <w:rFonts w:ascii="Calibri" w:hAnsi="Calibri"/>
          <w:sz w:val="20"/>
        </w:rPr>
        <w:t>This SOP applies to all front desk staff, patient registration clerks, medical office administrators, and any personnel involved in the patient intake process at [COMPANY NAME] facilities.</w:t>
      </w:r>
    </w:p>
    <w:p>
      <w:pPr>
        <w:pStyle w:val="Heading2"/>
      </w:pPr>
      <w:r>
        <w:t>4. Responsibilities</w:t>
      </w:r>
    </w:p>
    <w:p>
      <w:r>
        <w:rPr>
          <w:rFonts w:ascii="Calibri" w:hAnsi="Calibri"/>
          <w:b/>
          <w:sz w:val="20"/>
        </w:rPr>
        <w:t xml:space="preserve">Front Desk / Registration Staff: </w:t>
      </w:r>
      <w:r>
        <w:rPr>
          <w:rFonts w:ascii="Calibri" w:hAnsi="Calibri"/>
          <w:sz w:val="20"/>
        </w:rPr>
        <w:t>Execute the intake process as described, collect all required documentation, verify insurance, ensure privacy notices are signed, and communicate wait times.</w:t>
      </w:r>
    </w:p>
    <w:p>
      <w:r>
        <w:rPr>
          <w:rFonts w:ascii="Calibri" w:hAnsi="Calibri"/>
          <w:b/>
          <w:sz w:val="20"/>
        </w:rPr>
        <w:t xml:space="preserve">Clinical Staff (Nurses, MAs): </w:t>
      </w:r>
      <w:r>
        <w:rPr>
          <w:rFonts w:ascii="Calibri" w:hAnsi="Calibri"/>
          <w:sz w:val="20"/>
        </w:rPr>
        <w:t>Accept patient handoff, verify patient identity, and confirm that required intake forms are complete.</w:t>
      </w:r>
    </w:p>
    <w:p>
      <w:r>
        <w:rPr>
          <w:rFonts w:ascii="Calibri" w:hAnsi="Calibri"/>
          <w:b/>
          <w:sz w:val="20"/>
        </w:rPr>
        <w:t xml:space="preserve">Practice Manager / Clinic Manager: </w:t>
      </w:r>
      <w:r>
        <w:rPr>
          <w:rFonts w:ascii="Calibri" w:hAnsi="Calibri"/>
          <w:sz w:val="20"/>
        </w:rPr>
        <w:t>Ensure staff are trained on this SOP, audit compliance quarterly, and update procedures as regulations change.</w:t>
      </w:r>
    </w:p>
    <w:p>
      <w:r>
        <w:rPr>
          <w:rFonts w:ascii="Calibri" w:hAnsi="Calibri"/>
          <w:b/>
          <w:sz w:val="20"/>
        </w:rPr>
        <w:t xml:space="preserve">Privacy Officer: </w:t>
      </w:r>
      <w:r>
        <w:rPr>
          <w:rFonts w:ascii="Calibri" w:hAnsi="Calibri"/>
          <w:sz w:val="20"/>
        </w:rPr>
        <w:t>Ensure intake processes comply with PHIPA/HIPAA and that privacy notices and consent forms are current.</w:t>
      </w:r>
    </w:p>
    <w:p>
      <w:pPr>
        <w:pStyle w:val="Heading2"/>
      </w:pPr>
      <w:r>
        <w:t>5. Equipment &amp; Materials Required</w:t>
      </w:r>
    </w:p>
    <w:p>
      <w:pPr>
        <w:pStyle w:val="ListBullet"/>
      </w:pPr>
      <w:r>
        <w:rPr>
          <w:rFonts w:ascii="Calibri" w:hAnsi="Calibri"/>
          <w:sz w:val="20"/>
        </w:rPr>
        <w:t>EMR/EHR system with patient registration module</w:t>
      </w:r>
    </w:p>
    <w:p>
      <w:pPr>
        <w:pStyle w:val="ListBullet"/>
      </w:pPr>
      <w:r>
        <w:rPr>
          <w:rFonts w:ascii="Calibri" w:hAnsi="Calibri"/>
          <w:sz w:val="20"/>
        </w:rPr>
        <w:t>Patient identification wristband printer (if applicable)</w:t>
      </w:r>
    </w:p>
    <w:p>
      <w:pPr>
        <w:pStyle w:val="ListBullet"/>
      </w:pPr>
      <w:r>
        <w:rPr>
          <w:rFonts w:ascii="Calibri" w:hAnsi="Calibri"/>
          <w:sz w:val="20"/>
        </w:rPr>
        <w:t>Photocopier/scanner for insurance cards and identification</w:t>
      </w:r>
    </w:p>
    <w:p>
      <w:pPr>
        <w:pStyle w:val="ListBullet"/>
      </w:pPr>
      <w:r>
        <w:rPr>
          <w:rFonts w:ascii="Calibri" w:hAnsi="Calibri"/>
          <w:sz w:val="20"/>
        </w:rPr>
        <w:t>Pre-printed intake forms: demographic form, medical history questionnaire, consent for treatment, privacy notice acknowledgment, financial responsibility agreement</w:t>
      </w:r>
    </w:p>
    <w:p>
      <w:pPr>
        <w:pStyle w:val="ListBullet"/>
      </w:pPr>
      <w:r>
        <w:rPr>
          <w:rFonts w:ascii="Calibri" w:hAnsi="Calibri"/>
          <w:sz w:val="20"/>
        </w:rPr>
        <w:t>Insurance verification tool or portal access</w:t>
      </w:r>
    </w:p>
    <w:p>
      <w:pPr>
        <w:pStyle w:val="ListBullet"/>
      </w:pPr>
      <w:r>
        <w:rPr>
          <w:rFonts w:ascii="Calibri" w:hAnsi="Calibri"/>
          <w:sz w:val="20"/>
        </w:rPr>
        <w:t>Clipboard, pens, and patient information packets</w:t>
      </w:r>
    </w:p>
    <w:p>
      <w:pPr>
        <w:pStyle w:val="Heading2"/>
      </w:pPr>
      <w:r>
        <w:t>6. Safety Requirements</w:t>
      </w:r>
    </w:p>
    <w:p>
      <w:pPr>
        <w:pStyle w:val="ListBullet"/>
      </w:pPr>
      <w:r>
        <w:rPr>
          <w:rFonts w:ascii="Calibri" w:hAnsi="Calibri"/>
          <w:sz w:val="20"/>
        </w:rPr>
        <w:t>Handle all patient information as protected health information (PHI) under PHIPA/HIPAA</w:t>
      </w:r>
    </w:p>
    <w:p>
      <w:pPr>
        <w:pStyle w:val="ListBullet"/>
      </w:pPr>
      <w:r>
        <w:rPr>
          <w:rFonts w:ascii="Calibri" w:hAnsi="Calibri"/>
          <w:sz w:val="20"/>
        </w:rPr>
        <w:t>Never discuss patient information in public areas where it can be overheard</w:t>
      </w:r>
    </w:p>
    <w:p>
      <w:pPr>
        <w:pStyle w:val="ListBullet"/>
      </w:pPr>
      <w:r>
        <w:rPr>
          <w:rFonts w:ascii="Calibri" w:hAnsi="Calibri"/>
          <w:sz w:val="20"/>
        </w:rPr>
        <w:t>Ensure computer screens displaying PHI are not visible to other patients</w:t>
      </w:r>
    </w:p>
    <w:p>
      <w:pPr>
        <w:pStyle w:val="ListBullet"/>
      </w:pPr>
      <w:r>
        <w:rPr>
          <w:rFonts w:ascii="Calibri" w:hAnsi="Calibri"/>
          <w:sz w:val="20"/>
        </w:rPr>
        <w:t>Follow infection control protocols for shared items (clipboards, pens) including sanitization between patients</w:t>
      </w:r>
    </w:p>
    <w:p>
      <w:pPr>
        <w:pStyle w:val="Heading2"/>
      </w:pPr>
      <w:r>
        <w:t>7. Procedure</w:t>
      </w:r>
    </w:p>
    <w:p>
      <w:r>
        <w:rPr>
          <w:rFonts w:ascii="Calibri" w:hAnsi="Calibri"/>
          <w:b/>
          <w:color w:val="2C7BE5"/>
          <w:sz w:val="22"/>
        </w:rPr>
        <w:t>7.1 Patient Greeting &amp; Arrival</w:t>
      </w:r>
    </w:p>
    <w:p>
      <w:r>
        <w:rPr>
          <w:rFonts w:ascii="Calibri" w:hAnsi="Calibri"/>
          <w:sz w:val="20"/>
        </w:rPr>
        <w:t>1. Greet the patient warmly by name (if known) within 30 seconds of their approach to the front desk.</w:t>
      </w:r>
    </w:p>
    <w:p>
      <w:r>
        <w:rPr>
          <w:rFonts w:ascii="Calibri" w:hAnsi="Calibri"/>
          <w:sz w:val="20"/>
        </w:rPr>
        <w:t>2. Confirm the patient's appointment: 'We have you scheduled with [Provider] at [Time]. Is that correct?'</w:t>
      </w:r>
    </w:p>
    <w:p>
      <w:r>
        <w:rPr>
          <w:rFonts w:ascii="Calibri" w:hAnsi="Calibri"/>
          <w:sz w:val="20"/>
        </w:rPr>
        <w:t>3. If the patient is a walk-in, determine the nature of the visit and check provider availability.</w:t>
      </w:r>
    </w:p>
    <w:p>
      <w:r>
        <w:rPr>
          <w:rFonts w:ascii="Calibri" w:hAnsi="Calibri"/>
          <w:sz w:val="20"/>
        </w:rPr>
        <w:t>4. Ask for government-issued photo identification and health insurance card. Scan or photocopy both sides.</w:t>
      </w:r>
    </w:p>
    <w:p>
      <w:r>
        <w:rPr>
          <w:rFonts w:ascii="Calibri" w:hAnsi="Calibri"/>
          <w:sz w:val="20"/>
        </w:rPr>
        <w:t>5. For returning patients, ask: 'Has anything changed since your last visit — address, phone number, insurance, emergency contact, or pharmacy?'</w:t>
      </w:r>
    </w:p>
    <w:p>
      <w:r>
        <w:rPr>
          <w:rFonts w:ascii="Calibri" w:hAnsi="Calibri"/>
          <w:b/>
          <w:color w:val="2C7BE5"/>
          <w:sz w:val="22"/>
        </w:rPr>
        <w:t>7.2 Demographic &amp; Insurance Collection</w:t>
      </w:r>
    </w:p>
    <w:p>
      <w:r>
        <w:rPr>
          <w:rFonts w:ascii="Calibri" w:hAnsi="Calibri"/>
          <w:sz w:val="20"/>
        </w:rPr>
        <w:t>1. For new patients, provide the demographic information form and request completion of all fields: full legal name, date of birth, address, phone, email, emergency contact, referring physician, preferred pharmacy.</w:t>
      </w:r>
    </w:p>
    <w:p>
      <w:r>
        <w:rPr>
          <w:rFonts w:ascii="Calibri" w:hAnsi="Calibri"/>
          <w:sz w:val="20"/>
        </w:rPr>
        <w:t>2. Verify insurance eligibility in real-time using the insurance verification portal or by calling the carrier.</w:t>
      </w:r>
    </w:p>
    <w:p>
      <w:r>
        <w:rPr>
          <w:rFonts w:ascii="Calibri" w:hAnsi="Calibri"/>
          <w:sz w:val="20"/>
        </w:rPr>
        <w:t>3. Confirm copayment amount, deductible status, and any referral or prior authorization requirements.</w:t>
      </w:r>
    </w:p>
    <w:p>
      <w:r>
        <w:rPr>
          <w:rFonts w:ascii="Calibri" w:hAnsi="Calibri"/>
          <w:sz w:val="20"/>
        </w:rPr>
        <w:t>4. If the patient is uninsured or coverage cannot be verified, notify the billing department and provide the patient with the self-pay rate sheet and financial assistance information.</w:t>
      </w:r>
    </w:p>
    <w:p>
      <w:r>
        <w:rPr>
          <w:rFonts w:ascii="Calibri" w:hAnsi="Calibri"/>
          <w:sz w:val="20"/>
        </w:rPr>
        <w:t>5. Collect copayment or outstanding balance at time of check-in. Issue receipt.</w:t>
      </w:r>
    </w:p>
    <w:p>
      <w:r>
        <w:rPr>
          <w:rFonts w:ascii="Calibri" w:hAnsi="Calibri"/>
          <w:b/>
          <w:color w:val="2C7BE5"/>
          <w:sz w:val="22"/>
        </w:rPr>
        <w:t>7.3 Consent &amp; Privacy Documentation</w:t>
      </w:r>
    </w:p>
    <w:p>
      <w:r>
        <w:rPr>
          <w:rFonts w:ascii="Calibri" w:hAnsi="Calibri"/>
          <w:sz w:val="20"/>
        </w:rPr>
        <w:t>1. Provide the Notice of Privacy Practices (PHIPA/HIPAA) and ask the patient to sign the acknowledgment form.</w:t>
      </w:r>
    </w:p>
    <w:p>
      <w:r>
        <w:rPr>
          <w:rFonts w:ascii="Calibri" w:hAnsi="Calibri"/>
          <w:sz w:val="20"/>
        </w:rPr>
        <w:t>2. Provide the Consent for Treatment form. Explain that it authorizes [COMPANY NAME] to provide clinical services.</w:t>
      </w:r>
    </w:p>
    <w:p>
      <w:r>
        <w:rPr>
          <w:rFonts w:ascii="Calibri" w:hAnsi="Calibri"/>
          <w:sz w:val="20"/>
        </w:rPr>
        <w:t>3. If applicable, provide a Consent for Release of Information form for any external providers or family members.</w:t>
      </w:r>
    </w:p>
    <w:p>
      <w:r>
        <w:rPr>
          <w:rFonts w:ascii="Calibri" w:hAnsi="Calibri"/>
          <w:sz w:val="20"/>
        </w:rPr>
        <w:t>4. For patients under 16 or those with substitute decision-makers, verify the legal authority of the person signing consent forms.</w:t>
      </w:r>
    </w:p>
    <w:p>
      <w:r>
        <w:rPr>
          <w:rFonts w:ascii="Calibri" w:hAnsi="Calibri"/>
          <w:sz w:val="20"/>
        </w:rPr>
        <w:t>5. File all signed consent and privacy forms in the patient's EMR record immediately.</w:t>
      </w:r>
    </w:p>
    <w:p>
      <w:r>
        <w:rPr>
          <w:rFonts w:ascii="Calibri" w:hAnsi="Calibri"/>
          <w:b/>
          <w:color w:val="2C7BE5"/>
          <w:sz w:val="22"/>
        </w:rPr>
        <w:t>7.4 Medical History Questionnaire</w:t>
      </w:r>
    </w:p>
    <w:p>
      <w:r>
        <w:rPr>
          <w:rFonts w:ascii="Calibri" w:hAnsi="Calibri"/>
          <w:sz w:val="20"/>
        </w:rPr>
        <w:t>1. Provide the medical history questionnaire covering: current medications, allergies (drug, food, environmental, latex), past medical and surgical history, family history, social history (smoking, alcohol, substance use), and current symptoms/reason for visit.</w:t>
      </w:r>
    </w:p>
    <w:p>
      <w:r>
        <w:rPr>
          <w:rFonts w:ascii="Calibri" w:hAnsi="Calibri"/>
          <w:sz w:val="20"/>
        </w:rPr>
        <w:t>2. Offer assistance to patients who have difficulty reading or completing the form (e.g., language barriers, visual impairment, literacy).</w:t>
      </w:r>
    </w:p>
    <w:p>
      <w:r>
        <w:rPr>
          <w:rFonts w:ascii="Calibri" w:hAnsi="Calibri"/>
          <w:sz w:val="20"/>
        </w:rPr>
        <w:t>3. Review the completed questionnaire for completeness before the patient is moved to the clinical area.</w:t>
      </w:r>
    </w:p>
    <w:p>
      <w:r>
        <w:rPr>
          <w:rFonts w:ascii="Calibri" w:hAnsi="Calibri"/>
          <w:sz w:val="20"/>
        </w:rPr>
        <w:t>4. Flag any critical information (severe allergies, anticoagulant use, fall risk indicators) for immediate communication to clinical staff.</w:t>
      </w:r>
    </w:p>
    <w:p>
      <w:r>
        <w:rPr>
          <w:rFonts w:ascii="Calibri" w:hAnsi="Calibri"/>
          <w:b/>
          <w:color w:val="2C7BE5"/>
          <w:sz w:val="22"/>
        </w:rPr>
        <w:t>7.5 Patient Identification &amp; Wait Time Communication</w:t>
      </w:r>
    </w:p>
    <w:p>
      <w:r>
        <w:rPr>
          <w:rFonts w:ascii="Calibri" w:hAnsi="Calibri"/>
          <w:sz w:val="20"/>
        </w:rPr>
        <w:t>1. Generate and apply a patient identification wristband (if required by facility policy). Wristband must include: full name, date of birth, and medical record number (MRN).</w:t>
      </w:r>
    </w:p>
    <w:p>
      <w:r>
        <w:rPr>
          <w:rFonts w:ascii="Calibri" w:hAnsi="Calibri"/>
          <w:sz w:val="20"/>
        </w:rPr>
        <w:t>2. Confirm the two-identifier rule: verify patient identity using full name AND date of birth before any clinical handoff.</w:t>
      </w:r>
    </w:p>
    <w:p>
      <w:r>
        <w:rPr>
          <w:rFonts w:ascii="Calibri" w:hAnsi="Calibri"/>
          <w:sz w:val="20"/>
        </w:rPr>
        <w:t>3. Inform the patient of the estimated wait time: 'The estimated wait is approximately [X] minutes. I will let you know if anything changes.'</w:t>
      </w:r>
    </w:p>
    <w:p>
      <w:r>
        <w:rPr>
          <w:rFonts w:ascii="Calibri" w:hAnsi="Calibri"/>
          <w:sz w:val="20"/>
        </w:rPr>
        <w:t>4. Direct the patient to the waiting area. Offer water, restroom directions, and reading materials.</w:t>
      </w:r>
    </w:p>
    <w:p>
      <w:r>
        <w:rPr>
          <w:rFonts w:ascii="Calibri" w:hAnsi="Calibri"/>
          <w:sz w:val="20"/>
        </w:rPr>
        <w:t>5. If wait time exceeds 20 minutes beyond the scheduled appointment, proactively update the patient.</w:t>
      </w:r>
    </w:p>
    <w:p>
      <w:r>
        <w:rPr>
          <w:rFonts w:ascii="Calibri" w:hAnsi="Calibri"/>
          <w:b/>
          <w:color w:val="2C7BE5"/>
          <w:sz w:val="22"/>
        </w:rPr>
        <w:t>7.6 Handoff to Clinical Staff</w:t>
      </w:r>
    </w:p>
    <w:p>
      <w:r>
        <w:rPr>
          <w:rFonts w:ascii="Calibri" w:hAnsi="Calibri"/>
          <w:sz w:val="20"/>
        </w:rPr>
        <w:t>1. Notify the clinical team that the patient is checked in and ready. Use the EMR status board or internal messaging system.</w:t>
      </w:r>
    </w:p>
    <w:p>
      <w:r>
        <w:rPr>
          <w:rFonts w:ascii="Calibri" w:hAnsi="Calibri"/>
          <w:sz w:val="20"/>
        </w:rPr>
        <w:t>2. Provide a brief verbal or written handoff including: patient name, reason for visit, any flags (allergies, mobility needs, language assistance), and whether this is a new or returning patient.</w:t>
      </w:r>
    </w:p>
    <w:p>
      <w:r>
        <w:rPr>
          <w:rFonts w:ascii="Calibri" w:hAnsi="Calibri"/>
          <w:sz w:val="20"/>
        </w:rPr>
        <w:t>3. Document the check-in time in the EMR for tracking purposes.</w:t>
      </w:r>
    </w:p>
    <w:p>
      <w:r>
        <w:rPr>
          <w:rFonts w:ascii="Calibri" w:hAnsi="Calibri"/>
          <w:sz w:val="20"/>
        </w:rPr>
        <w:t>4. If the patient requires wheelchair assistance, interpreter services, or other accommodations, arrange these before the clinical handoff.</w:t>
      </w:r>
    </w:p>
    <w:p>
      <w:pPr>
        <w:pStyle w:val="Heading2"/>
      </w:pPr>
      <w:r>
        <w:t>8. Quality Checkpoints</w:t>
      </w:r>
    </w:p>
    <w:p>
      <w:pPr>
        <w:pStyle w:val="ListBullet"/>
      </w:pPr>
      <w:r>
        <w:rPr>
          <w:rFonts w:ascii="Calibri" w:hAnsi="Calibri"/>
          <w:sz w:val="20"/>
        </w:rPr>
        <w:t>Insurance verified before patient is seen (target: 100% of scheduled patients)</w:t>
      </w:r>
    </w:p>
    <w:p>
      <w:pPr>
        <w:pStyle w:val="ListBullet"/>
      </w:pPr>
      <w:r>
        <w:rPr>
          <w:rFonts w:ascii="Calibri" w:hAnsi="Calibri"/>
          <w:sz w:val="20"/>
        </w:rPr>
        <w:t>Privacy notice signed and documented in EMR (target: 100%)</w:t>
      </w:r>
    </w:p>
    <w:p>
      <w:pPr>
        <w:pStyle w:val="ListBullet"/>
      </w:pPr>
      <w:r>
        <w:rPr>
          <w:rFonts w:ascii="Calibri" w:hAnsi="Calibri"/>
          <w:sz w:val="20"/>
        </w:rPr>
        <w:t>Medical history questionnaire complete before clinical handoff (target: 95%)</w:t>
      </w:r>
    </w:p>
    <w:p>
      <w:pPr>
        <w:pStyle w:val="ListBullet"/>
      </w:pPr>
      <w:r>
        <w:rPr>
          <w:rFonts w:ascii="Calibri" w:hAnsi="Calibri"/>
          <w:sz w:val="20"/>
        </w:rPr>
        <w:t>Wait time communicated to patient at check-in (target: 100%)</w:t>
      </w:r>
    </w:p>
    <w:p>
      <w:pPr>
        <w:pStyle w:val="ListBullet"/>
      </w:pPr>
      <w:r>
        <w:rPr>
          <w:rFonts w:ascii="Calibri" w:hAnsi="Calibri"/>
          <w:sz w:val="20"/>
        </w:rPr>
        <w:t>Monthly audit: 10 random charts reviewed for intake completeness</w:t>
      </w:r>
    </w:p>
    <w:p>
      <w:pPr>
        <w:pStyle w:val="Heading2"/>
      </w:pPr>
      <w:r>
        <w:t>9. Troubleshooting</w:t>
      </w:r>
    </w:p>
    <w:p>
      <w:r>
        <w:rPr>
          <w:rFonts w:ascii="Calibri" w:hAnsi="Calibri"/>
          <w:b/>
          <w:sz w:val="20"/>
        </w:rPr>
        <w:t>Issue: Patient cannot provide insurance information</w:t>
      </w:r>
    </w:p>
    <w:p>
      <w:r>
        <w:rPr>
          <w:rFonts w:ascii="Calibri" w:hAnsi="Calibri"/>
          <w:sz w:val="20"/>
        </w:rPr>
        <w:t>Resolution: Proceed with intake. Notify billing department. Provide self-pay rate sheet. Offer financial assistance application. Document in EMR as 'insurance pending.'</w:t>
      </w:r>
    </w:p>
    <w:p>
      <w:r>
        <w:rPr>
          <w:rFonts w:ascii="Calibri" w:hAnsi="Calibri"/>
          <w:b/>
          <w:sz w:val="20"/>
        </w:rPr>
        <w:t>Issue: Patient refuses to sign privacy notice</w:t>
      </w:r>
    </w:p>
    <w:p>
      <w:r>
        <w:rPr>
          <w:rFonts w:ascii="Calibri" w:hAnsi="Calibri"/>
          <w:sz w:val="20"/>
        </w:rPr>
        <w:t>Resolution: Document refusal in EMR with date and witness. Patient may still receive care. Notify Privacy Officer.</w:t>
      </w:r>
    </w:p>
    <w:p>
      <w:r>
        <w:rPr>
          <w:rFonts w:ascii="Calibri" w:hAnsi="Calibri"/>
          <w:b/>
          <w:sz w:val="20"/>
        </w:rPr>
        <w:t>Issue: EMR system is down</w:t>
      </w:r>
    </w:p>
    <w:p>
      <w:r>
        <w:rPr>
          <w:rFonts w:ascii="Calibri" w:hAnsi="Calibri"/>
          <w:sz w:val="20"/>
        </w:rPr>
        <w:t>Resolution: Switch to paper registration forms (kept in emergency supply at front desk). Enter data into EMR within 24 hours of system restoration. Note: paper forms must be stored in a locked area until entered.</w:t>
      </w:r>
    </w:p>
    <w:p>
      <w:r>
        <w:rPr>
          <w:rFonts w:ascii="Calibri" w:hAnsi="Calibri"/>
          <w:b/>
          <w:sz w:val="20"/>
        </w:rPr>
        <w:t>Issue: Patient becomes agitated about wait time</w:t>
      </w:r>
    </w:p>
    <w:p>
      <w:r>
        <w:rPr>
          <w:rFonts w:ascii="Calibri" w:hAnsi="Calibri"/>
          <w:sz w:val="20"/>
        </w:rPr>
        <w:t>Resolution: Apologize sincerely. Provide an updated estimate. Offer to reschedule if preferred. If the patient becomes threatening, follow Code White procedure (SOP-HC-005).</w:t>
      </w:r>
    </w:p>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Revision</w:t>
            </w:r>
          </w:p>
        </w:tc>
        <w:tc>
          <w:tcPr>
            <w:tcW w:type="dxa" w:w="2160"/>
            <w:shd w:fill="1A3A5C"/>
          </w:tcPr>
          <w:p>
            <w:r>
              <w:rPr>
                <w:rFonts w:ascii="Calibri" w:hAnsi="Calibri"/>
                <w:b/>
                <w:color w:val="FFFFFF"/>
                <w:sz w:val="18"/>
              </w:rPr>
              <w:t>Date</w:t>
            </w:r>
          </w:p>
        </w:tc>
        <w:tc>
          <w:tcPr>
            <w:tcW w:type="dxa" w:w="2160"/>
            <w:shd w:fill="1A3A5C"/>
          </w:tcPr>
          <w:p>
            <w:r>
              <w:rPr>
                <w:rFonts w:ascii="Calibri" w:hAnsi="Calibri"/>
                <w:b/>
                <w:color w:val="FFFFFF"/>
                <w:sz w:val="18"/>
              </w:rPr>
              <w:t>Description</w:t>
            </w:r>
          </w:p>
        </w:tc>
        <w:tc>
          <w:tcPr>
            <w:tcW w:type="dxa" w:w="2160"/>
            <w:shd w:fill="1A3A5C"/>
          </w:tcPr>
          <w:p>
            <w:r>
              <w:rPr>
                <w:rFonts w:ascii="Calibri" w:hAnsi="Calibri"/>
                <w:b/>
                <w:color w:val="FFFFFF"/>
                <w:sz w:val="18"/>
              </w:rPr>
              <w:t>Author</w:t>
            </w:r>
          </w:p>
        </w:tc>
      </w:tr>
      <w:tr>
        <w:tc>
          <w:tcPr>
            <w:tcW w:type="dxa" w:w="2160"/>
          </w:tcPr>
          <w:p>
            <w:r>
              <w:rPr>
                <w:rFonts w:ascii="Calibri" w:hAnsi="Calibri"/>
                <w:sz w:val="18"/>
              </w:rPr>
              <w:t>1.0</w:t>
            </w:r>
          </w:p>
        </w:tc>
        <w:tc>
          <w:tcPr>
            <w:tcW w:type="dxa" w:w="2160"/>
          </w:tcPr>
          <w:p>
            <w:r>
              <w:rPr>
                <w:rFonts w:ascii="Calibri" w:hAnsi="Calibri"/>
                <w:sz w:val="18"/>
              </w:rPr>
              <w:t>[DATE]</w:t>
            </w:r>
          </w:p>
        </w:tc>
        <w:tc>
          <w:tcPr>
            <w:tcW w:type="dxa" w:w="2160"/>
          </w:tcPr>
          <w:p>
            <w:r>
              <w:rPr>
                <w:rFonts w:ascii="Calibri" w:hAnsi="Calibri"/>
                <w:sz w:val="18"/>
              </w:rPr>
              <w:t>Initial release</w:t>
            </w:r>
          </w:p>
        </w:tc>
        <w:tc>
          <w:tcPr>
            <w:tcW w:type="dxa" w:w="2160"/>
          </w:tcPr>
          <w:p>
            <w:r>
              <w:rPr>
                <w:rFonts w:ascii="Calibri" w:hAnsi="Calibri"/>
                <w:sz w:val="18"/>
              </w:rPr>
              <w:t>[AUTHOR]</w:t>
            </w:r>
          </w:p>
        </w:tc>
      </w:tr>
      <w:tr>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r>
    </w:tbl>
    <w:p>
      <w:pPr>
        <w:pStyle w:val="Heading2"/>
      </w:pPr>
      <w:r>
        <w:t>12. Approval Signatures</w:t>
      </w:r>
    </w:p>
    <w:tbl>
      <w:tblPr>
        <w:tblStyle w:val="TableGrid"/>
        <w:tblW w:type="auto" w:w="0"/>
        <w:tblLook w:firstColumn="1" w:firstRow="1" w:lastColumn="0" w:lastRow="0" w:noHBand="0" w:noVBand="1" w:val="04A0"/>
      </w:tblPr>
      <w:tblGrid>
        <w:gridCol w:w="2880"/>
        <w:gridCol w:w="2880"/>
        <w:gridCol w:w="2880"/>
      </w:tblGrid>
      <w:tr>
        <w:tc>
          <w:tcPr>
            <w:tcW w:type="dxa" w:w="2880"/>
            <w:shd w:fill="1A3A5C"/>
          </w:tcPr>
          <w:p>
            <w:r>
              <w:rPr>
                <w:rFonts w:ascii="Calibri" w:hAnsi="Calibri"/>
                <w:b/>
                <w:color w:val="FFFFFF"/>
                <w:sz w:val="18"/>
              </w:rPr>
              <w:t>Role</w:t>
            </w:r>
          </w:p>
        </w:tc>
        <w:tc>
          <w:tcPr>
            <w:tcW w:type="dxa" w:w="2880"/>
            <w:shd w:fill="1A3A5C"/>
          </w:tcPr>
          <w:p>
            <w:r>
              <w:rPr>
                <w:rFonts w:ascii="Calibri" w:hAnsi="Calibri"/>
                <w:b/>
                <w:color w:val="FFFFFF"/>
                <w:sz w:val="18"/>
              </w:rPr>
              <w:t>Signature / Name</w:t>
            </w:r>
          </w:p>
        </w:tc>
        <w:tc>
          <w:tcPr>
            <w:tcW w:type="dxa" w:w="2880"/>
            <w:shd w:fill="1A3A5C"/>
          </w:tcPr>
          <w:p>
            <w:r>
              <w:rPr>
                <w:rFonts w:ascii="Calibri" w:hAnsi="Calibri"/>
                <w:b/>
                <w:color w:val="FFFFFF"/>
                <w:sz w:val="18"/>
              </w:rPr>
              <w:t>Date</w:t>
            </w:r>
          </w:p>
        </w:tc>
      </w:tr>
      <w:tr>
        <w:tc>
          <w:tcPr>
            <w:tcW w:type="dxa" w:w="2880"/>
          </w:tcPr>
          <w:p>
            <w:r>
              <w:rPr>
                <w:sz w:val="18"/>
              </w:rPr>
              <w:t>Prepared By</w:t>
            </w:r>
          </w:p>
        </w:tc>
        <w:tc>
          <w:tcPr>
            <w:tcW w:type="dxa" w:w="2880"/>
          </w:tcPr>
          <w:p/>
        </w:tc>
        <w:tc>
          <w:tcPr>
            <w:tcW w:type="dxa" w:w="2880"/>
          </w:tcPr>
          <w:p/>
        </w:tc>
      </w:tr>
      <w:tr>
        <w:tc>
          <w:tcPr>
            <w:tcW w:type="dxa" w:w="2880"/>
          </w:tcPr>
          <w:p>
            <w:r>
              <w:rPr>
                <w:sz w:val="18"/>
              </w:rPr>
              <w:t>Reviewed By</w:t>
            </w:r>
          </w:p>
        </w:tc>
        <w:tc>
          <w:tcPr>
            <w:tcW w:type="dxa" w:w="2880"/>
          </w:tcPr>
          <w:p/>
        </w:tc>
        <w:tc>
          <w:tcPr>
            <w:tcW w:type="dxa" w:w="2880"/>
          </w:tcPr>
          <w:p/>
        </w:tc>
      </w:tr>
      <w:tr>
        <w:tc>
          <w:tcPr>
            <w:tcW w:type="dxa" w:w="2880"/>
          </w:tcPr>
          <w:p>
            <w:r>
              <w:rPr>
                <w:sz w:val="18"/>
              </w:rPr>
              <w:t>Approved By</w:t>
            </w:r>
          </w:p>
        </w:tc>
        <w:tc>
          <w:tcPr>
            <w:tcW w:type="dxa" w:w="2880"/>
          </w:tcPr>
          <w:p/>
        </w:tc>
        <w:tc>
          <w:tcPr>
            <w:tcW w:type="dxa" w:w="2880"/>
          </w:tcPr>
          <w:p/>
        </w:tc>
      </w:tr>
    </w:tbl>
    <w:p>
      <w:r>
        <w:br w:type="page"/>
      </w:r>
    </w:p>
    <w:p>
      <w:pPr>
        <w:pStyle w:val="Heading1"/>
      </w:pPr>
      <w:r>
        <w:t>SOP-HC-002: Medication Administration</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3"/>
          </w:tcPr>
          <w:p>
            <w:r>
              <w:rPr>
                <w:rFonts w:ascii="Calibri" w:hAnsi="Calibri"/>
                <w:b/>
                <w:color w:val="1A3A5C"/>
                <w:sz w:val="18"/>
              </w:rPr>
              <w:t>Document Number:</w:t>
            </w:r>
          </w:p>
        </w:tc>
        <w:tc>
          <w:tcPr>
            <w:tcW w:type="dxa" w:w="2160"/>
          </w:tcPr>
          <w:p>
            <w:r>
              <w:rPr>
                <w:rFonts w:ascii="Calibri" w:hAnsi="Calibri"/>
                <w:sz w:val="18"/>
              </w:rPr>
              <w:t>SOP-HC-002</w:t>
            </w:r>
          </w:p>
        </w:tc>
        <w:tc>
          <w:tcPr>
            <w:tcW w:type="dxa" w:w="2160"/>
            <w:shd w:fill="E8EDF3"/>
          </w:tcPr>
          <w:p>
            <w:r>
              <w:rPr>
                <w:rFonts w:ascii="Calibri" w:hAnsi="Calibri"/>
                <w:b/>
                <w:color w:val="1A3A5C"/>
                <w:sz w:val="18"/>
              </w:rPr>
              <w:t>Effective Date:</w:t>
            </w:r>
          </w:p>
        </w:tc>
        <w:tc>
          <w:tcPr>
            <w:tcW w:type="dxa" w:w="2160"/>
          </w:tcPr>
          <w:p>
            <w:r>
              <w:rPr>
                <w:rFonts w:ascii="Calibri" w:hAnsi="Calibri"/>
                <w:sz w:val="18"/>
              </w:rPr>
              <w:t>[DATE]</w:t>
            </w:r>
          </w:p>
        </w:tc>
      </w:tr>
      <w:tr>
        <w:tc>
          <w:tcPr>
            <w:tcW w:type="dxa" w:w="2160"/>
            <w:shd w:fill="E8EDF3"/>
          </w:tcPr>
          <w:p>
            <w:r>
              <w:rPr>
                <w:rFonts w:ascii="Calibri" w:hAnsi="Calibri"/>
                <w:b/>
                <w:color w:val="1A3A5C"/>
                <w:sz w:val="18"/>
              </w:rPr>
              <w:t>Title:</w:t>
            </w:r>
          </w:p>
        </w:tc>
        <w:tc>
          <w:tcPr>
            <w:tcW w:type="dxa" w:w="2160"/>
          </w:tcPr>
          <w:p>
            <w:r>
              <w:rPr>
                <w:rFonts w:ascii="Calibri" w:hAnsi="Calibri"/>
                <w:sz w:val="18"/>
              </w:rPr>
              <w:t>Medication Administration</w:t>
            </w:r>
          </w:p>
        </w:tc>
        <w:tc>
          <w:tcPr>
            <w:tcW w:type="dxa" w:w="2160"/>
            <w:shd w:fill="E8EDF3"/>
          </w:tcPr>
          <w:p>
            <w:r>
              <w:rPr>
                <w:rFonts w:ascii="Calibri" w:hAnsi="Calibri"/>
                <w:b/>
                <w:color w:val="1A3A5C"/>
                <w:sz w:val="18"/>
              </w:rPr>
              <w:t>Revision:</w:t>
            </w:r>
          </w:p>
        </w:tc>
        <w:tc>
          <w:tcPr>
            <w:tcW w:type="dxa" w:w="2160"/>
          </w:tcPr>
          <w:p>
            <w:r>
              <w:rPr>
                <w:rFonts w:ascii="Calibri" w:hAnsi="Calibri"/>
                <w:sz w:val="18"/>
              </w:rPr>
              <w:t>1.0</w:t>
            </w:r>
          </w:p>
        </w:tc>
      </w:tr>
      <w:tr>
        <w:tc>
          <w:tcPr>
            <w:tcW w:type="dxa" w:w="2160"/>
            <w:shd w:fill="E8EDF3"/>
          </w:tcPr>
          <w:p>
            <w:r>
              <w:rPr>
                <w:rFonts w:ascii="Calibri" w:hAnsi="Calibri"/>
                <w:b/>
                <w:color w:val="1A3A5C"/>
                <w:sz w:val="18"/>
              </w:rPr>
              <w:t>Department:</w:t>
            </w:r>
          </w:p>
        </w:tc>
        <w:tc>
          <w:tcPr>
            <w:tcW w:type="dxa" w:w="2160"/>
          </w:tcPr>
          <w:p>
            <w:r>
              <w:rPr>
                <w:rFonts w:ascii="Calibri" w:hAnsi="Calibri"/>
                <w:sz w:val="18"/>
              </w:rPr>
              <w:t>Nursing / Clinical Services</w:t>
            </w:r>
          </w:p>
        </w:tc>
        <w:tc>
          <w:tcPr>
            <w:tcW w:type="dxa" w:w="2160"/>
            <w:shd w:fill="E8EDF3"/>
          </w:tcPr>
          <w:p>
            <w:r>
              <w:rPr>
                <w:rFonts w:ascii="Calibri" w:hAnsi="Calibri"/>
                <w:b/>
                <w:color w:val="1A3A5C"/>
                <w:sz w:val="18"/>
              </w:rPr>
              <w:t>Page:</w:t>
            </w:r>
          </w:p>
        </w:tc>
        <w:tc>
          <w:tcPr>
            <w:tcW w:type="dxa" w:w="2160"/>
          </w:tcPr>
          <w:p>
            <w:r>
              <w:rPr>
                <w:rFonts w:ascii="Calibri" w:hAnsi="Calibri"/>
                <w:sz w:val="18"/>
              </w:rPr>
              <w:t>[X] of [Y]</w:t>
            </w:r>
          </w:p>
        </w:tc>
      </w:tr>
      <w:tr>
        <w:tc>
          <w:tcPr>
            <w:tcW w:type="dxa" w:w="2160"/>
            <w:shd w:fill="E8EDF3"/>
          </w:tcPr>
          <w:p>
            <w:r>
              <w:rPr>
                <w:rFonts w:ascii="Calibri" w:hAnsi="Calibri"/>
                <w:b/>
                <w:color w:val="1A3A5C"/>
                <w:sz w:val="18"/>
              </w:rPr>
              <w:t>Prepared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Reviewed By:</w:t>
            </w:r>
          </w:p>
        </w:tc>
        <w:tc>
          <w:tcPr>
            <w:tcW w:type="dxa" w:w="2160"/>
          </w:tcPr>
          <w:p>
            <w:r>
              <w:rPr>
                <w:rFonts w:ascii="Calibri" w:hAnsi="Calibri"/>
                <w:sz w:val="18"/>
              </w:rPr>
              <w:t>[NAME / TITLE]</w:t>
            </w:r>
          </w:p>
        </w:tc>
      </w:tr>
      <w:tr>
        <w:tc>
          <w:tcPr>
            <w:tcW w:type="dxa" w:w="2160"/>
            <w:shd w:fill="E8EDF3"/>
          </w:tcPr>
          <w:p>
            <w:r>
              <w:rPr>
                <w:rFonts w:ascii="Calibri" w:hAnsi="Calibri"/>
                <w:b/>
                <w:color w:val="1A3A5C"/>
                <w:sz w:val="18"/>
              </w:rPr>
              <w:t>Approved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Next Review:</w:t>
            </w:r>
          </w:p>
        </w:tc>
        <w:tc>
          <w:tcPr>
            <w:tcW w:type="dxa" w:w="2160"/>
          </w:tcPr>
          <w:p>
            <w:r>
              <w:rPr>
                <w:rFonts w:ascii="Calibri" w:hAnsi="Calibri"/>
                <w:sz w:val="18"/>
              </w:rPr>
              <w:t>[DATE + 1 YEAR]</w:t>
            </w:r>
          </w:p>
        </w:tc>
      </w:tr>
      <w:tr>
        <w:tc>
          <w:tcPr>
            <w:tcW w:type="dxa" w:w="2160"/>
            <w:shd w:fill="E8EDF3"/>
          </w:tcPr>
          <w:p>
            <w:r>
              <w:rPr>
                <w:rFonts w:ascii="Calibri" w:hAnsi="Calibri"/>
                <w:b/>
                <w:color w:val="1A3A5C"/>
                <w:sz w:val="18"/>
              </w:rPr>
              <w:t>Supersedes:</w:t>
            </w:r>
          </w:p>
        </w:tc>
        <w:tc>
          <w:tcPr>
            <w:tcW w:type="dxa" w:w="2160"/>
          </w:tcPr>
          <w:p>
            <w:r>
              <w:rPr>
                <w:rFonts w:ascii="Calibri" w:hAnsi="Calibri"/>
                <w:sz w:val="18"/>
              </w:rPr>
              <w:t>N/A — New Document</w:t>
            </w:r>
          </w:p>
        </w:tc>
        <w:tc>
          <w:tcPr>
            <w:tcW w:type="dxa" w:w="2160"/>
            <w:shd w:fill="E8EDF3"/>
          </w:tcPr>
          <w:p>
            <w:r>
              <w:rPr>
                <w:rFonts w:ascii="Calibri" w:hAnsi="Calibri"/>
                <w:b/>
                <w:color w:val="1A3A5C"/>
                <w:sz w:val="18"/>
              </w:rPr>
              <w:t>Classification:</w:t>
            </w:r>
          </w:p>
        </w:tc>
        <w:tc>
          <w:tcPr>
            <w:tcW w:type="dxa" w:w="2160"/>
          </w:tcPr>
          <w:p>
            <w:r>
              <w:rPr>
                <w:rFonts w:ascii="Calibri" w:hAnsi="Calibri"/>
                <w:sz w:val="18"/>
              </w:rPr>
              <w:t>Internal</w:t>
            </w:r>
          </w:p>
        </w:tc>
      </w:tr>
    </w:tbl>
    <w:p>
      <w:pPr>
        <w:pStyle w:val="Heading2"/>
      </w:pPr>
      <w:r>
        <w:t>2. Purpose</w:t>
      </w:r>
    </w:p>
    <w:p>
      <w:r>
        <w:rPr>
          <w:rFonts w:ascii="Calibri" w:hAnsi="Calibri"/>
          <w:sz w:val="20"/>
        </w:rPr>
        <w:t>To establish a standardized, safe process for administering medications to patients that ensures the 7 Rights of medication administration are verified for every dose, adverse reactions are identified and managed promptly, controlled substances are handled per regulatory requirements, and all administration is documented accurately in the electronic medical record (EMR).</w:t>
      </w:r>
    </w:p>
    <w:p>
      <w:pPr>
        <w:pStyle w:val="Heading2"/>
      </w:pPr>
      <w:r>
        <w:t>3. Scope</w:t>
      </w:r>
    </w:p>
    <w:p>
      <w:r>
        <w:rPr>
          <w:rFonts w:ascii="Calibri" w:hAnsi="Calibri"/>
          <w:sz w:val="20"/>
        </w:rPr>
        <w:t>This SOP applies to all Registered Nurses (RNs), Licensed Practical Nurses (LPNs/RPNs), and other authorized personnel who administer medications at [COMPANY NAME] facilities. This includes oral, injectable, topical, inhaled, and intravenous medications.</w:t>
      </w:r>
    </w:p>
    <w:p>
      <w:pPr>
        <w:pStyle w:val="Heading2"/>
      </w:pPr>
      <w:r>
        <w:t>4. Responsibilities</w:t>
      </w:r>
    </w:p>
    <w:p>
      <w:r>
        <w:rPr>
          <w:rFonts w:ascii="Calibri" w:hAnsi="Calibri"/>
          <w:b/>
          <w:sz w:val="20"/>
        </w:rPr>
        <w:t xml:space="preserve">Registered Nurse (RN): </w:t>
      </w:r>
      <w:r>
        <w:rPr>
          <w:rFonts w:ascii="Calibri" w:hAnsi="Calibri"/>
          <w:sz w:val="20"/>
        </w:rPr>
        <w:t>Verify the 7 Rights, administer all medication routes within scope, monitor patient responses, document administration, and manage adverse reactions including emergency response.</w:t>
      </w:r>
    </w:p>
    <w:p>
      <w:r>
        <w:rPr>
          <w:rFonts w:ascii="Calibri" w:hAnsi="Calibri"/>
          <w:b/>
          <w:sz w:val="20"/>
        </w:rPr>
        <w:t xml:space="preserve">Licensed Practical Nurse (LPN/RPN): </w:t>
      </w:r>
      <w:r>
        <w:rPr>
          <w:rFonts w:ascii="Calibri" w:hAnsi="Calibri"/>
          <w:sz w:val="20"/>
        </w:rPr>
        <w:t>Administer medications within scope of practice as defined by the provincial/state regulatory body, report observations to the RN, and document accurately.</w:t>
      </w:r>
    </w:p>
    <w:p>
      <w:r>
        <w:rPr>
          <w:rFonts w:ascii="Calibri" w:hAnsi="Calibri"/>
          <w:b/>
          <w:sz w:val="20"/>
        </w:rPr>
        <w:t xml:space="preserve">Pharmacist: </w:t>
      </w:r>
      <w:r>
        <w:rPr>
          <w:rFonts w:ascii="Calibri" w:hAnsi="Calibri"/>
          <w:sz w:val="20"/>
        </w:rPr>
        <w:t>Verify medication orders, identify interactions, dispense accurately, and consult on medication therapy questions.</w:t>
      </w:r>
    </w:p>
    <w:p>
      <w:r>
        <w:rPr>
          <w:rFonts w:ascii="Calibri" w:hAnsi="Calibri"/>
          <w:b/>
          <w:sz w:val="20"/>
        </w:rPr>
        <w:t xml:space="preserve">Physician / Prescriber: </w:t>
      </w:r>
      <w:r>
        <w:rPr>
          <w:rFonts w:ascii="Calibri" w:hAnsi="Calibri"/>
          <w:sz w:val="20"/>
        </w:rPr>
        <w:t>Write clear, complete medication orders. Clarify orders when queried by nursing or pharmacy staff.</w:t>
      </w:r>
    </w:p>
    <w:p>
      <w:r>
        <w:rPr>
          <w:rFonts w:ascii="Calibri" w:hAnsi="Calibri"/>
          <w:b/>
          <w:sz w:val="20"/>
        </w:rPr>
        <w:t xml:space="preserve">Charge Nurse / Unit Manager: </w:t>
      </w:r>
      <w:r>
        <w:rPr>
          <w:rFonts w:ascii="Calibri" w:hAnsi="Calibri"/>
          <w:sz w:val="20"/>
        </w:rPr>
        <w:t>Ensure staff competency, conduct medication administration audits, and manage controlled substance discrepancies.</w:t>
      </w:r>
    </w:p>
    <w:p>
      <w:pPr>
        <w:pStyle w:val="Heading2"/>
      </w:pPr>
      <w:r>
        <w:t>5. Equipment &amp; Materials Required</w:t>
      </w:r>
    </w:p>
    <w:p>
      <w:pPr>
        <w:pStyle w:val="ListBullet"/>
      </w:pPr>
      <w:r>
        <w:rPr>
          <w:rFonts w:ascii="Calibri" w:hAnsi="Calibri"/>
          <w:sz w:val="20"/>
        </w:rPr>
        <w:t>Medication Administration Record (MAR) — electronic (within EMR) or paper backup</w:t>
      </w:r>
    </w:p>
    <w:p>
      <w:pPr>
        <w:pStyle w:val="ListBullet"/>
      </w:pPr>
      <w:r>
        <w:rPr>
          <w:rFonts w:ascii="Calibri" w:hAnsi="Calibri"/>
          <w:sz w:val="20"/>
        </w:rPr>
        <w:t>Medication cart or automated dispensing cabinet (e.g., Pyxis, Omnicell)</w:t>
      </w:r>
    </w:p>
    <w:p>
      <w:pPr>
        <w:pStyle w:val="ListBullet"/>
      </w:pPr>
      <w:r>
        <w:rPr>
          <w:rFonts w:ascii="Calibri" w:hAnsi="Calibri"/>
          <w:sz w:val="20"/>
        </w:rPr>
        <w:t>Barcode medication administration (BCMA) scanner (if available)</w:t>
      </w:r>
    </w:p>
    <w:p>
      <w:pPr>
        <w:pStyle w:val="ListBullet"/>
      </w:pPr>
      <w:r>
        <w:rPr>
          <w:rFonts w:ascii="Calibri" w:hAnsi="Calibri"/>
          <w:sz w:val="20"/>
        </w:rPr>
        <w:t>PPE: gloves (non-latex option available), alcohol swabs, syringes (various gauges), IV supplies</w:t>
      </w:r>
    </w:p>
    <w:p>
      <w:pPr>
        <w:pStyle w:val="ListBullet"/>
      </w:pPr>
      <w:r>
        <w:rPr>
          <w:rFonts w:ascii="Calibri" w:hAnsi="Calibri"/>
          <w:sz w:val="20"/>
        </w:rPr>
        <w:t>Sharps container, medication disposal containers</w:t>
      </w:r>
    </w:p>
    <w:p>
      <w:pPr>
        <w:pStyle w:val="ListBullet"/>
      </w:pPr>
      <w:r>
        <w:rPr>
          <w:rFonts w:ascii="Calibri" w:hAnsi="Calibri"/>
          <w:sz w:val="20"/>
        </w:rPr>
        <w:t>Controlled substance count sheet and double-lock storage</w:t>
      </w:r>
    </w:p>
    <w:p>
      <w:pPr>
        <w:pStyle w:val="ListBullet"/>
      </w:pPr>
      <w:r>
        <w:rPr>
          <w:rFonts w:ascii="Calibri" w:hAnsi="Calibri"/>
          <w:sz w:val="20"/>
        </w:rPr>
        <w:t>Emergency equipment: epinephrine auto-injector, crash cart location awareness</w:t>
      </w:r>
    </w:p>
    <w:p>
      <w:pPr>
        <w:pStyle w:val="Heading2"/>
      </w:pPr>
      <w:r>
        <w:t>6. Safety Requirements</w:t>
      </w:r>
    </w:p>
    <w:p>
      <w:pPr>
        <w:pStyle w:val="ListBullet"/>
      </w:pPr>
      <w:r>
        <w:rPr>
          <w:rFonts w:ascii="Calibri" w:hAnsi="Calibri"/>
          <w:sz w:val="20"/>
        </w:rPr>
        <w:t>NEVER administer a medication if any of the 7 Rights cannot be confirmed</w:t>
      </w:r>
    </w:p>
    <w:p>
      <w:pPr>
        <w:pStyle w:val="ListBullet"/>
      </w:pPr>
      <w:r>
        <w:rPr>
          <w:rFonts w:ascii="Calibri" w:hAnsi="Calibri"/>
          <w:sz w:val="20"/>
        </w:rPr>
        <w:t>NEVER administer a medication from an unlabeled container or syringe</w:t>
      </w:r>
    </w:p>
    <w:p>
      <w:pPr>
        <w:pStyle w:val="ListBullet"/>
      </w:pPr>
      <w:r>
        <w:rPr>
          <w:rFonts w:ascii="Calibri" w:hAnsi="Calibri"/>
          <w:sz w:val="20"/>
        </w:rPr>
        <w:t>ALWAYS check for patient allergies before every administration</w:t>
      </w:r>
    </w:p>
    <w:p>
      <w:pPr>
        <w:pStyle w:val="ListBullet"/>
      </w:pPr>
      <w:r>
        <w:rPr>
          <w:rFonts w:ascii="Calibri" w:hAnsi="Calibri"/>
          <w:sz w:val="20"/>
        </w:rPr>
        <w:t>Report all medication errors and near-misses immediately per incident reporting policy — no punitive consequences for honest reporting</w:t>
      </w:r>
    </w:p>
    <w:p>
      <w:pPr>
        <w:pStyle w:val="ListBullet"/>
      </w:pPr>
      <w:r>
        <w:rPr>
          <w:rFonts w:ascii="Calibri" w:hAnsi="Calibri"/>
          <w:sz w:val="20"/>
        </w:rPr>
        <w:t>Controlled substances require two-person witness for waste/destruction</w:t>
      </w:r>
    </w:p>
    <w:p>
      <w:pPr>
        <w:pStyle w:val="ListBullet"/>
      </w:pPr>
      <w:r>
        <w:rPr>
          <w:rFonts w:ascii="Calibri" w:hAnsi="Calibri"/>
          <w:sz w:val="20"/>
        </w:rPr>
        <w:t>Know the location of the nearest crash cart and emergency medication kit</w:t>
      </w:r>
    </w:p>
    <w:p>
      <w:pPr>
        <w:pStyle w:val="Heading2"/>
      </w:pPr>
      <w:r>
        <w:t>7. Procedure</w:t>
      </w:r>
    </w:p>
    <w:p>
      <w:r>
        <w:rPr>
          <w:rFonts w:ascii="Calibri" w:hAnsi="Calibri"/>
          <w:b/>
          <w:color w:val="2C7BE5"/>
          <w:sz w:val="22"/>
        </w:rPr>
        <w:t>7.1 The 7 Rights of Medication Administration</w:t>
      </w:r>
    </w:p>
    <w:p>
      <w:r>
        <w:rPr>
          <w:rFonts w:ascii="Calibri" w:hAnsi="Calibri"/>
          <w:sz w:val="20"/>
        </w:rPr>
        <w:t>Before every medication administration, verify all 7 Rights:</w:t>
      </w:r>
    </w:p>
    <w:p>
      <w:r>
        <w:rPr>
          <w:rFonts w:ascii="Calibri" w:hAnsi="Calibri"/>
          <w:sz w:val="20"/>
        </w:rPr>
        <w:t>1. RIGHT PATIENT — Use two patient identifiers (full name + date of birth). Use barcode scanning if available. Ask the patient to state their name and date of birth; do not ask 'Are you [name]?'</w:t>
      </w:r>
    </w:p>
    <w:p>
      <w:r>
        <w:rPr>
          <w:rFonts w:ascii="Calibri" w:hAnsi="Calibri"/>
          <w:sz w:val="20"/>
        </w:rPr>
        <w:t>2. RIGHT DRUG — Compare the medication label to the prescriber's order (MAR). Check drug name (brand and generic), concentration, and formulation.</w:t>
      </w:r>
    </w:p>
    <w:p>
      <w:r>
        <w:rPr>
          <w:rFonts w:ascii="Calibri" w:hAnsi="Calibri"/>
          <w:sz w:val="20"/>
        </w:rPr>
        <w:t>3. RIGHT DOSE — Verify the ordered dose against the label. Perform independent dose calculation for high-alert medications (insulin, heparin, opioids, pediatric doses).</w:t>
      </w:r>
    </w:p>
    <w:p>
      <w:r>
        <w:rPr>
          <w:rFonts w:ascii="Calibri" w:hAnsi="Calibri"/>
          <w:sz w:val="20"/>
        </w:rPr>
        <w:t>4. RIGHT ROUTE — Confirm the administration route: oral (PO), intravenous (IV), intramuscular (IM), subcutaneous (SC/SQ), topical, rectal, inhaled, sublingual, or other. Never substitute routes without a prescriber order.</w:t>
      </w:r>
    </w:p>
    <w:p>
      <w:r>
        <w:rPr>
          <w:rFonts w:ascii="Calibri" w:hAnsi="Calibri"/>
          <w:sz w:val="20"/>
        </w:rPr>
        <w:t>5. RIGHT TIME — Administer within the facility's accepted time window (typically 30 minutes before or after the scheduled time). Time-critical medications (antibiotics, anticoagulants, insulin) must be given at the exact scheduled time.</w:t>
      </w:r>
    </w:p>
    <w:p>
      <w:r>
        <w:rPr>
          <w:rFonts w:ascii="Calibri" w:hAnsi="Calibri"/>
          <w:sz w:val="20"/>
        </w:rPr>
        <w:t>6. RIGHT REASON — Understand the clinical indication for the medication. If the reason is unclear or the medication seems inappropriate for the patient's condition, query the prescriber before administering.</w:t>
      </w:r>
    </w:p>
    <w:p>
      <w:r>
        <w:rPr>
          <w:rFonts w:ascii="Calibri" w:hAnsi="Calibri"/>
          <w:sz w:val="20"/>
        </w:rPr>
        <w:t>7. RIGHT DOCUMENTATION — Document immediately after administration in the MAR/EMR. Include: drug name, dose, route, site (for injections), time, patient response, and your signature/credentials.</w:t>
      </w:r>
    </w:p>
    <w:p>
      <w:r>
        <w:rPr>
          <w:rFonts w:ascii="Calibri" w:hAnsi="Calibri"/>
          <w:b/>
          <w:color w:val="2C7BE5"/>
          <w:sz w:val="22"/>
        </w:rPr>
        <w:t>7.2 Medication Reconciliation &amp; Allergy Verification</w:t>
      </w:r>
    </w:p>
    <w:p>
      <w:r>
        <w:rPr>
          <w:rFonts w:ascii="Calibri" w:hAnsi="Calibri"/>
          <w:sz w:val="20"/>
        </w:rPr>
        <w:t>1. Review the patient's current medication reconciliation list in the EMR before administering any new medication.</w:t>
      </w:r>
    </w:p>
    <w:p>
      <w:r>
        <w:rPr>
          <w:rFonts w:ascii="Calibri" w:hAnsi="Calibri"/>
          <w:sz w:val="20"/>
        </w:rPr>
        <w:t>2. Check for drug-drug interactions, therapeutic duplications, and contraindications.</w:t>
      </w:r>
    </w:p>
    <w:p>
      <w:r>
        <w:rPr>
          <w:rFonts w:ascii="Calibri" w:hAnsi="Calibri"/>
          <w:sz w:val="20"/>
        </w:rPr>
        <w:t>3. Verify the patient's allergy status in the EMR AND verbally with the patient: 'Do you have any allergies to medications, foods, or latex?'</w:t>
      </w:r>
    </w:p>
    <w:p>
      <w:r>
        <w:rPr>
          <w:rFonts w:ascii="Calibri" w:hAnsi="Calibri"/>
          <w:sz w:val="20"/>
        </w:rPr>
        <w:t>4. If an allergy is identified that was not previously documented, update the allergy list in the EMR immediately and notify the prescriber.</w:t>
      </w:r>
    </w:p>
    <w:p>
      <w:r>
        <w:rPr>
          <w:rFonts w:ascii="Calibri" w:hAnsi="Calibri"/>
          <w:sz w:val="20"/>
        </w:rPr>
        <w:t>5. For high-alert medications (insulin, anticoagulants, opioids, chemotherapy), perform an independent double-check with a second qualified nurse before administration.</w:t>
      </w:r>
    </w:p>
    <w:p>
      <w:r>
        <w:rPr>
          <w:rFonts w:ascii="Calibri" w:hAnsi="Calibri"/>
          <w:b/>
          <w:color w:val="2C7BE5"/>
          <w:sz w:val="22"/>
        </w:rPr>
        <w:t>7.3 Administration Procedure</w:t>
      </w:r>
    </w:p>
    <w:p>
      <w:r>
        <w:rPr>
          <w:rFonts w:ascii="Calibri" w:hAnsi="Calibri"/>
          <w:sz w:val="20"/>
        </w:rPr>
        <w:t>1. Perform hand hygiene (WHO 5 Moments). Don gloves if required by route of administration.</w:t>
      </w:r>
    </w:p>
    <w:p>
      <w:r>
        <w:rPr>
          <w:rFonts w:ascii="Calibri" w:hAnsi="Calibri"/>
          <w:sz w:val="20"/>
        </w:rPr>
        <w:t>2. Retrieve the medication from the dispensing cabinet or medication cart. Verify against the MAR at the cabinet (first check).</w:t>
      </w:r>
    </w:p>
    <w:p>
      <w:r>
        <w:rPr>
          <w:rFonts w:ascii="Calibri" w:hAnsi="Calibri"/>
          <w:sz w:val="20"/>
        </w:rPr>
        <w:t>3. Verify the medication label at the bedside (second check). Use barcode scanning if available.</w:t>
      </w:r>
    </w:p>
    <w:p>
      <w:r>
        <w:rPr>
          <w:rFonts w:ascii="Calibri" w:hAnsi="Calibri"/>
          <w:sz w:val="20"/>
        </w:rPr>
        <w:t>4. Identify the patient using two identifiers (third check at bedside).</w:t>
      </w:r>
    </w:p>
    <w:p>
      <w:r>
        <w:rPr>
          <w:rFonts w:ascii="Calibri" w:hAnsi="Calibri"/>
          <w:sz w:val="20"/>
        </w:rPr>
        <w:t>5. Explain the medication to the patient: what it is, why it is being given, expected effects, and any side effects to report.</w:t>
      </w:r>
    </w:p>
    <w:p>
      <w:r>
        <w:rPr>
          <w:rFonts w:ascii="Calibri" w:hAnsi="Calibri"/>
          <w:sz w:val="20"/>
        </w:rPr>
        <w:t>6. Administer the medication via the prescribed route following proper technique:</w:t>
      </w:r>
    </w:p>
    <w:p>
      <w:r>
        <w:rPr>
          <w:rFonts w:ascii="Calibri" w:hAnsi="Calibri"/>
          <w:sz w:val="20"/>
        </w:rPr>
        <w:t xml:space="preserve">   • Oral: Ensure patient is sitting upright. Provide water. Observe swallowing.</w:t>
      </w:r>
    </w:p>
    <w:p>
      <w:r>
        <w:rPr>
          <w:rFonts w:ascii="Calibri" w:hAnsi="Calibri"/>
          <w:sz w:val="20"/>
        </w:rPr>
        <w:t xml:space="preserve">   • IV: Verify IV site patency. Check rate, concentration, and compatibility. Use an infusion pump for continuous infusions.</w:t>
      </w:r>
    </w:p>
    <w:p>
      <w:r>
        <w:rPr>
          <w:rFonts w:ascii="Calibri" w:hAnsi="Calibri"/>
          <w:sz w:val="20"/>
        </w:rPr>
        <w:t xml:space="preserve">   • IM/SC: Select appropriate site. Use correct needle gauge and length. Aspirate per facility policy.</w:t>
      </w:r>
    </w:p>
    <w:p>
      <w:r>
        <w:rPr>
          <w:rFonts w:ascii="Calibri" w:hAnsi="Calibri"/>
          <w:sz w:val="20"/>
        </w:rPr>
        <w:t xml:space="preserve">   • Topical: Clean application site. Apply as directed. Document location.</w:t>
      </w:r>
    </w:p>
    <w:p>
      <w:r>
        <w:rPr>
          <w:rFonts w:ascii="Calibri" w:hAnsi="Calibri"/>
          <w:sz w:val="20"/>
        </w:rPr>
        <w:t>7. Observe the patient for immediate adverse reactions for at least 5 minutes (longer for first-time medications, IV medications, or high-risk drugs).</w:t>
      </w:r>
    </w:p>
    <w:p>
      <w:r>
        <w:rPr>
          <w:rFonts w:ascii="Calibri" w:hAnsi="Calibri"/>
          <w:sz w:val="20"/>
        </w:rPr>
        <w:t>8. Dispose of sharps, syringes, and medication waste per facility waste management policy.</w:t>
      </w:r>
    </w:p>
    <w:p>
      <w:r>
        <w:rPr>
          <w:rFonts w:ascii="Calibri" w:hAnsi="Calibri"/>
          <w:b/>
          <w:color w:val="2C7BE5"/>
          <w:sz w:val="22"/>
        </w:rPr>
        <w:t>7.4 Adverse Reaction Response</w:t>
      </w:r>
    </w:p>
    <w:p>
      <w:r>
        <w:rPr>
          <w:rFonts w:ascii="Calibri" w:hAnsi="Calibri"/>
          <w:sz w:val="20"/>
        </w:rPr>
        <w:t>1. If the patient exhibits signs of an adverse reaction (rash, hives, swelling, respiratory distress, hypotension, altered consciousness), STOP the medication immediately.</w:t>
      </w:r>
    </w:p>
    <w:p>
      <w:r>
        <w:rPr>
          <w:rFonts w:ascii="Calibri" w:hAnsi="Calibri"/>
          <w:sz w:val="20"/>
        </w:rPr>
        <w:t>2. Assess the patient using ABCDE (Airway, Breathing, Circulation, Disability, Exposure).</w:t>
      </w:r>
    </w:p>
    <w:p>
      <w:r>
        <w:rPr>
          <w:rFonts w:ascii="Calibri" w:hAnsi="Calibri"/>
          <w:sz w:val="20"/>
        </w:rPr>
        <w:t>3. Call for help. Activate emergency response (Code Blue) if anaphylaxis or life-threatening reaction is suspected.</w:t>
      </w:r>
    </w:p>
    <w:p>
      <w:r>
        <w:rPr>
          <w:rFonts w:ascii="Calibri" w:hAnsi="Calibri"/>
          <w:sz w:val="20"/>
        </w:rPr>
        <w:t>4. Administer emergency medications as ordered or per standing orders (e.g., epinephrine 0.3 mg IM for anaphylaxis).</w:t>
      </w:r>
    </w:p>
    <w:p>
      <w:r>
        <w:rPr>
          <w:rFonts w:ascii="Calibri" w:hAnsi="Calibri"/>
          <w:sz w:val="20"/>
        </w:rPr>
        <w:t>5. Notify the prescriber immediately. Provide SBAR report.</w:t>
      </w:r>
    </w:p>
    <w:p>
      <w:r>
        <w:rPr>
          <w:rFonts w:ascii="Calibri" w:hAnsi="Calibri"/>
          <w:sz w:val="20"/>
        </w:rPr>
        <w:t>6. Document the reaction in the EMR including: medication name, dose, route, time of reaction, symptoms observed, interventions, patient outcome.</w:t>
      </w:r>
    </w:p>
    <w:p>
      <w:r>
        <w:rPr>
          <w:rFonts w:ascii="Calibri" w:hAnsi="Calibri"/>
          <w:sz w:val="20"/>
        </w:rPr>
        <w:t>7. Complete an Incident/Adverse Event report per facility policy.</w:t>
      </w:r>
    </w:p>
    <w:p>
      <w:r>
        <w:rPr>
          <w:rFonts w:ascii="Calibri" w:hAnsi="Calibri"/>
          <w:sz w:val="20"/>
        </w:rPr>
        <w:t>8. Update the patient's allergy/adverse reaction list in the EMR.</w:t>
      </w:r>
    </w:p>
    <w:p>
      <w:r>
        <w:rPr>
          <w:rFonts w:ascii="Calibri" w:hAnsi="Calibri"/>
          <w:b/>
          <w:color w:val="2C7BE5"/>
          <w:sz w:val="22"/>
        </w:rPr>
        <w:t>7.5 Controlled Substance Handling</w:t>
      </w:r>
    </w:p>
    <w:p>
      <w:r>
        <w:rPr>
          <w:rFonts w:ascii="Calibri" w:hAnsi="Calibri"/>
          <w:sz w:val="20"/>
        </w:rPr>
        <w:t>1. Access controlled substances (Schedule I-V / Narcotics) from the double-locked cabinet or automated dispensing cabinet using individual login credentials.</w:t>
      </w:r>
    </w:p>
    <w:p>
      <w:r>
        <w:rPr>
          <w:rFonts w:ascii="Calibri" w:hAnsi="Calibri"/>
          <w:sz w:val="20"/>
        </w:rPr>
        <w:t>2. Count and verify the controlled substance count matches the count sheet before removing any medication.</w:t>
      </w:r>
    </w:p>
    <w:p>
      <w:r>
        <w:rPr>
          <w:rFonts w:ascii="Calibri" w:hAnsi="Calibri"/>
          <w:sz w:val="20"/>
        </w:rPr>
        <w:t>3. Administer the controlled substance following the standard 7 Rights procedure.</w:t>
      </w:r>
    </w:p>
    <w:p>
      <w:r>
        <w:rPr>
          <w:rFonts w:ascii="Calibri" w:hAnsi="Calibri"/>
          <w:sz w:val="20"/>
        </w:rPr>
        <w:t>4. If a partial dose is administered (e.g., ordered 0.5 mg, tablet is 1 mg), waste the remaining portion in the presence of a second qualified witness. Both parties sign the waste documentation.</w:t>
      </w:r>
    </w:p>
    <w:p>
      <w:r>
        <w:rPr>
          <w:rFonts w:ascii="Calibri" w:hAnsi="Calibri"/>
          <w:sz w:val="20"/>
        </w:rPr>
        <w:t>5. Document controlled substance administration immediately in both the MAR and the controlled substance log.</w:t>
      </w:r>
    </w:p>
    <w:p>
      <w:r>
        <w:rPr>
          <w:rFonts w:ascii="Calibri" w:hAnsi="Calibri"/>
          <w:sz w:val="20"/>
        </w:rPr>
        <w:t>6. At shift change, perform a two-person controlled substance count. Document the count. Report any discrepancies immediately to the Charge Nurse and Pharmacy.</w:t>
      </w:r>
    </w:p>
    <w:p>
      <w:pPr>
        <w:pStyle w:val="Heading2"/>
      </w:pPr>
      <w:r>
        <w:t>8. Quality Checkpoints</w:t>
      </w:r>
    </w:p>
    <w:p>
      <w:pPr>
        <w:pStyle w:val="ListBullet"/>
      </w:pPr>
      <w:r>
        <w:rPr>
          <w:rFonts w:ascii="Calibri" w:hAnsi="Calibri"/>
          <w:sz w:val="20"/>
        </w:rPr>
        <w:t>7 Rights verified and documented for 100% of medication administrations</w:t>
      </w:r>
    </w:p>
    <w:p>
      <w:pPr>
        <w:pStyle w:val="ListBullet"/>
      </w:pPr>
      <w:r>
        <w:rPr>
          <w:rFonts w:ascii="Calibri" w:hAnsi="Calibri"/>
          <w:sz w:val="20"/>
        </w:rPr>
        <w:t>Allergy verification documented before every first-time medication</w:t>
      </w:r>
    </w:p>
    <w:p>
      <w:pPr>
        <w:pStyle w:val="ListBullet"/>
      </w:pPr>
      <w:r>
        <w:rPr>
          <w:rFonts w:ascii="Calibri" w:hAnsi="Calibri"/>
          <w:sz w:val="20"/>
        </w:rPr>
        <w:t>High-alert medication double-checks completed and co-signed</w:t>
      </w:r>
    </w:p>
    <w:p>
      <w:pPr>
        <w:pStyle w:val="ListBullet"/>
      </w:pPr>
      <w:r>
        <w:rPr>
          <w:rFonts w:ascii="Calibri" w:hAnsi="Calibri"/>
          <w:sz w:val="20"/>
        </w:rPr>
        <w:t>Controlled substance counts balanced at every shift change (0 discrepancies)</w:t>
      </w:r>
    </w:p>
    <w:p>
      <w:pPr>
        <w:pStyle w:val="ListBullet"/>
      </w:pPr>
      <w:r>
        <w:rPr>
          <w:rFonts w:ascii="Calibri" w:hAnsi="Calibri"/>
          <w:sz w:val="20"/>
        </w:rPr>
        <w:t>Medication errors and near-misses reported within 1 hour of discovery</w:t>
      </w:r>
    </w:p>
    <w:p>
      <w:pPr>
        <w:pStyle w:val="ListBullet"/>
      </w:pPr>
      <w:r>
        <w:rPr>
          <w:rFonts w:ascii="Calibri" w:hAnsi="Calibri"/>
          <w:sz w:val="20"/>
        </w:rPr>
        <w:t>Monthly audit: 20 random MAR entries reviewed for completeness and accuracy</w:t>
      </w:r>
    </w:p>
    <w:p>
      <w:pPr>
        <w:pStyle w:val="Heading2"/>
      </w:pPr>
      <w:r>
        <w:t>9. Troubleshooting</w:t>
      </w:r>
    </w:p>
    <w:p>
      <w:r>
        <w:rPr>
          <w:rFonts w:ascii="Calibri" w:hAnsi="Calibri"/>
          <w:b/>
          <w:sz w:val="20"/>
        </w:rPr>
        <w:t>Issue: Medication order is unclear or incomplete</w:t>
      </w:r>
    </w:p>
    <w:p>
      <w:r>
        <w:rPr>
          <w:rFonts w:ascii="Calibri" w:hAnsi="Calibri"/>
          <w:sz w:val="20"/>
        </w:rPr>
        <w:t>Resolution: Do NOT administer. Contact the prescriber for clarification. Document the clarification in the EMR. Never interpret or assume.</w:t>
      </w:r>
    </w:p>
    <w:p>
      <w:r>
        <w:rPr>
          <w:rFonts w:ascii="Calibri" w:hAnsi="Calibri"/>
          <w:b/>
          <w:sz w:val="20"/>
        </w:rPr>
        <w:t>Issue: Patient refuses medication</w:t>
      </w:r>
    </w:p>
    <w:p>
      <w:r>
        <w:rPr>
          <w:rFonts w:ascii="Calibri" w:hAnsi="Calibri"/>
          <w:sz w:val="20"/>
        </w:rPr>
        <w:t>Resolution: Respect the patient's right to refuse. Educate on risks of non-adherence. Document refusal in the EMR including: medication, reason for refusal (if stated), education provided. Notify prescriber.</w:t>
      </w:r>
    </w:p>
    <w:p>
      <w:r>
        <w:rPr>
          <w:rFonts w:ascii="Calibri" w:hAnsi="Calibri"/>
          <w:b/>
          <w:sz w:val="20"/>
        </w:rPr>
        <w:t>Issue: Barcode scanner is not working</w:t>
      </w:r>
    </w:p>
    <w:p>
      <w:r>
        <w:rPr>
          <w:rFonts w:ascii="Calibri" w:hAnsi="Calibri"/>
          <w:sz w:val="20"/>
        </w:rPr>
        <w:t>Resolution: Perform manual 3-check verification (cabinet, bedside, patient). Document that BCMA was unavailable. Report to IT.</w:t>
      </w:r>
    </w:p>
    <w:p>
      <w:r>
        <w:rPr>
          <w:rFonts w:ascii="Calibri" w:hAnsi="Calibri"/>
          <w:b/>
          <w:sz w:val="20"/>
        </w:rPr>
        <w:t>Issue: Controlled substance count discrepancy</w:t>
      </w:r>
    </w:p>
    <w:p>
      <w:r>
        <w:rPr>
          <w:rFonts w:ascii="Calibri" w:hAnsi="Calibri"/>
          <w:sz w:val="20"/>
        </w:rPr>
        <w:t>Resolution: Recount immediately with a second witness. If discrepancy confirmed, notify Charge Nurse, Pharmacy, and Security. Do NOT leave the medication area until discrepancy is resolved or escalated. Document all actions taken.</w:t>
      </w:r>
    </w:p>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Revision</w:t>
            </w:r>
          </w:p>
        </w:tc>
        <w:tc>
          <w:tcPr>
            <w:tcW w:type="dxa" w:w="2160"/>
            <w:shd w:fill="1A3A5C"/>
          </w:tcPr>
          <w:p>
            <w:r>
              <w:rPr>
                <w:rFonts w:ascii="Calibri" w:hAnsi="Calibri"/>
                <w:b/>
                <w:color w:val="FFFFFF"/>
                <w:sz w:val="18"/>
              </w:rPr>
              <w:t>Date</w:t>
            </w:r>
          </w:p>
        </w:tc>
        <w:tc>
          <w:tcPr>
            <w:tcW w:type="dxa" w:w="2160"/>
            <w:shd w:fill="1A3A5C"/>
          </w:tcPr>
          <w:p>
            <w:r>
              <w:rPr>
                <w:rFonts w:ascii="Calibri" w:hAnsi="Calibri"/>
                <w:b/>
                <w:color w:val="FFFFFF"/>
                <w:sz w:val="18"/>
              </w:rPr>
              <w:t>Description</w:t>
            </w:r>
          </w:p>
        </w:tc>
        <w:tc>
          <w:tcPr>
            <w:tcW w:type="dxa" w:w="2160"/>
            <w:shd w:fill="1A3A5C"/>
          </w:tcPr>
          <w:p>
            <w:r>
              <w:rPr>
                <w:rFonts w:ascii="Calibri" w:hAnsi="Calibri"/>
                <w:b/>
                <w:color w:val="FFFFFF"/>
                <w:sz w:val="18"/>
              </w:rPr>
              <w:t>Author</w:t>
            </w:r>
          </w:p>
        </w:tc>
      </w:tr>
      <w:tr>
        <w:tc>
          <w:tcPr>
            <w:tcW w:type="dxa" w:w="2160"/>
          </w:tcPr>
          <w:p>
            <w:r>
              <w:rPr>
                <w:rFonts w:ascii="Calibri" w:hAnsi="Calibri"/>
                <w:sz w:val="18"/>
              </w:rPr>
              <w:t>1.0</w:t>
            </w:r>
          </w:p>
        </w:tc>
        <w:tc>
          <w:tcPr>
            <w:tcW w:type="dxa" w:w="2160"/>
          </w:tcPr>
          <w:p>
            <w:r>
              <w:rPr>
                <w:rFonts w:ascii="Calibri" w:hAnsi="Calibri"/>
                <w:sz w:val="18"/>
              </w:rPr>
              <w:t>[DATE]</w:t>
            </w:r>
          </w:p>
        </w:tc>
        <w:tc>
          <w:tcPr>
            <w:tcW w:type="dxa" w:w="2160"/>
          </w:tcPr>
          <w:p>
            <w:r>
              <w:rPr>
                <w:rFonts w:ascii="Calibri" w:hAnsi="Calibri"/>
                <w:sz w:val="18"/>
              </w:rPr>
              <w:t>Initial release</w:t>
            </w:r>
          </w:p>
        </w:tc>
        <w:tc>
          <w:tcPr>
            <w:tcW w:type="dxa" w:w="2160"/>
          </w:tcPr>
          <w:p>
            <w:r>
              <w:rPr>
                <w:rFonts w:ascii="Calibri" w:hAnsi="Calibri"/>
                <w:sz w:val="18"/>
              </w:rPr>
              <w:t>[AUTHOR]</w:t>
            </w:r>
          </w:p>
        </w:tc>
      </w:tr>
      <w:tr>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r>
    </w:tbl>
    <w:p>
      <w:pPr>
        <w:pStyle w:val="Heading2"/>
      </w:pPr>
      <w:r>
        <w:t>12. Approval Signatures</w:t>
      </w:r>
    </w:p>
    <w:tbl>
      <w:tblPr>
        <w:tblStyle w:val="TableGrid"/>
        <w:tblW w:type="auto" w:w="0"/>
        <w:tblLook w:firstColumn="1" w:firstRow="1" w:lastColumn="0" w:lastRow="0" w:noHBand="0" w:noVBand="1" w:val="04A0"/>
      </w:tblPr>
      <w:tblGrid>
        <w:gridCol w:w="2880"/>
        <w:gridCol w:w="2880"/>
        <w:gridCol w:w="2880"/>
      </w:tblGrid>
      <w:tr>
        <w:tc>
          <w:tcPr>
            <w:tcW w:type="dxa" w:w="2880"/>
            <w:shd w:fill="1A3A5C"/>
          </w:tcPr>
          <w:p>
            <w:r>
              <w:rPr>
                <w:rFonts w:ascii="Calibri" w:hAnsi="Calibri"/>
                <w:b/>
                <w:color w:val="FFFFFF"/>
                <w:sz w:val="18"/>
              </w:rPr>
              <w:t>Role</w:t>
            </w:r>
          </w:p>
        </w:tc>
        <w:tc>
          <w:tcPr>
            <w:tcW w:type="dxa" w:w="2880"/>
            <w:shd w:fill="1A3A5C"/>
          </w:tcPr>
          <w:p>
            <w:r>
              <w:rPr>
                <w:rFonts w:ascii="Calibri" w:hAnsi="Calibri"/>
                <w:b/>
                <w:color w:val="FFFFFF"/>
                <w:sz w:val="18"/>
              </w:rPr>
              <w:t>Signature / Name</w:t>
            </w:r>
          </w:p>
        </w:tc>
        <w:tc>
          <w:tcPr>
            <w:tcW w:type="dxa" w:w="2880"/>
            <w:shd w:fill="1A3A5C"/>
          </w:tcPr>
          <w:p>
            <w:r>
              <w:rPr>
                <w:rFonts w:ascii="Calibri" w:hAnsi="Calibri"/>
                <w:b/>
                <w:color w:val="FFFFFF"/>
                <w:sz w:val="18"/>
              </w:rPr>
              <w:t>Date</w:t>
            </w:r>
          </w:p>
        </w:tc>
      </w:tr>
      <w:tr>
        <w:tc>
          <w:tcPr>
            <w:tcW w:type="dxa" w:w="2880"/>
          </w:tcPr>
          <w:p>
            <w:r>
              <w:rPr>
                <w:sz w:val="18"/>
              </w:rPr>
              <w:t>Prepared By</w:t>
            </w:r>
          </w:p>
        </w:tc>
        <w:tc>
          <w:tcPr>
            <w:tcW w:type="dxa" w:w="2880"/>
          </w:tcPr>
          <w:p/>
        </w:tc>
        <w:tc>
          <w:tcPr>
            <w:tcW w:type="dxa" w:w="2880"/>
          </w:tcPr>
          <w:p/>
        </w:tc>
      </w:tr>
      <w:tr>
        <w:tc>
          <w:tcPr>
            <w:tcW w:type="dxa" w:w="2880"/>
          </w:tcPr>
          <w:p>
            <w:r>
              <w:rPr>
                <w:sz w:val="18"/>
              </w:rPr>
              <w:t>Reviewed By</w:t>
            </w:r>
          </w:p>
        </w:tc>
        <w:tc>
          <w:tcPr>
            <w:tcW w:type="dxa" w:w="2880"/>
          </w:tcPr>
          <w:p/>
        </w:tc>
        <w:tc>
          <w:tcPr>
            <w:tcW w:type="dxa" w:w="2880"/>
          </w:tcPr>
          <w:p/>
        </w:tc>
      </w:tr>
      <w:tr>
        <w:tc>
          <w:tcPr>
            <w:tcW w:type="dxa" w:w="2880"/>
          </w:tcPr>
          <w:p>
            <w:r>
              <w:rPr>
                <w:sz w:val="18"/>
              </w:rPr>
              <w:t>Approved By</w:t>
            </w:r>
          </w:p>
        </w:tc>
        <w:tc>
          <w:tcPr>
            <w:tcW w:type="dxa" w:w="2880"/>
          </w:tcPr>
          <w:p/>
        </w:tc>
        <w:tc>
          <w:tcPr>
            <w:tcW w:type="dxa" w:w="2880"/>
          </w:tcPr>
          <w:p/>
        </w:tc>
      </w:tr>
    </w:tbl>
    <w:p>
      <w:r>
        <w:br w:type="page"/>
      </w:r>
    </w:p>
    <w:p>
      <w:pPr>
        <w:pStyle w:val="Heading1"/>
      </w:pPr>
      <w:r>
        <w:t>SOP-HC-003: Infection Control &amp; Prevention</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3"/>
          </w:tcPr>
          <w:p>
            <w:r>
              <w:rPr>
                <w:rFonts w:ascii="Calibri" w:hAnsi="Calibri"/>
                <w:b/>
                <w:color w:val="1A3A5C"/>
                <w:sz w:val="18"/>
              </w:rPr>
              <w:t>Document Number:</w:t>
            </w:r>
          </w:p>
        </w:tc>
        <w:tc>
          <w:tcPr>
            <w:tcW w:type="dxa" w:w="2160"/>
          </w:tcPr>
          <w:p>
            <w:r>
              <w:rPr>
                <w:rFonts w:ascii="Calibri" w:hAnsi="Calibri"/>
                <w:sz w:val="18"/>
              </w:rPr>
              <w:t>SOP-HC-003</w:t>
            </w:r>
          </w:p>
        </w:tc>
        <w:tc>
          <w:tcPr>
            <w:tcW w:type="dxa" w:w="2160"/>
            <w:shd w:fill="E8EDF3"/>
          </w:tcPr>
          <w:p>
            <w:r>
              <w:rPr>
                <w:rFonts w:ascii="Calibri" w:hAnsi="Calibri"/>
                <w:b/>
                <w:color w:val="1A3A5C"/>
                <w:sz w:val="18"/>
              </w:rPr>
              <w:t>Effective Date:</w:t>
            </w:r>
          </w:p>
        </w:tc>
        <w:tc>
          <w:tcPr>
            <w:tcW w:type="dxa" w:w="2160"/>
          </w:tcPr>
          <w:p>
            <w:r>
              <w:rPr>
                <w:rFonts w:ascii="Calibri" w:hAnsi="Calibri"/>
                <w:sz w:val="18"/>
              </w:rPr>
              <w:t>[DATE]</w:t>
            </w:r>
          </w:p>
        </w:tc>
      </w:tr>
      <w:tr>
        <w:tc>
          <w:tcPr>
            <w:tcW w:type="dxa" w:w="2160"/>
            <w:shd w:fill="E8EDF3"/>
          </w:tcPr>
          <w:p>
            <w:r>
              <w:rPr>
                <w:rFonts w:ascii="Calibri" w:hAnsi="Calibri"/>
                <w:b/>
                <w:color w:val="1A3A5C"/>
                <w:sz w:val="18"/>
              </w:rPr>
              <w:t>Title:</w:t>
            </w:r>
          </w:p>
        </w:tc>
        <w:tc>
          <w:tcPr>
            <w:tcW w:type="dxa" w:w="2160"/>
          </w:tcPr>
          <w:p>
            <w:r>
              <w:rPr>
                <w:rFonts w:ascii="Calibri" w:hAnsi="Calibri"/>
                <w:sz w:val="18"/>
              </w:rPr>
              <w:t>Infection Control &amp; Prevention</w:t>
            </w:r>
          </w:p>
        </w:tc>
        <w:tc>
          <w:tcPr>
            <w:tcW w:type="dxa" w:w="2160"/>
            <w:shd w:fill="E8EDF3"/>
          </w:tcPr>
          <w:p>
            <w:r>
              <w:rPr>
                <w:rFonts w:ascii="Calibri" w:hAnsi="Calibri"/>
                <w:b/>
                <w:color w:val="1A3A5C"/>
                <w:sz w:val="18"/>
              </w:rPr>
              <w:t>Revision:</w:t>
            </w:r>
          </w:p>
        </w:tc>
        <w:tc>
          <w:tcPr>
            <w:tcW w:type="dxa" w:w="2160"/>
          </w:tcPr>
          <w:p>
            <w:r>
              <w:rPr>
                <w:rFonts w:ascii="Calibri" w:hAnsi="Calibri"/>
                <w:sz w:val="18"/>
              </w:rPr>
              <w:t>1.0</w:t>
            </w:r>
          </w:p>
        </w:tc>
      </w:tr>
      <w:tr>
        <w:tc>
          <w:tcPr>
            <w:tcW w:type="dxa" w:w="2160"/>
            <w:shd w:fill="E8EDF3"/>
          </w:tcPr>
          <w:p>
            <w:r>
              <w:rPr>
                <w:rFonts w:ascii="Calibri" w:hAnsi="Calibri"/>
                <w:b/>
                <w:color w:val="1A3A5C"/>
                <w:sz w:val="18"/>
              </w:rPr>
              <w:t>Department:</w:t>
            </w:r>
          </w:p>
        </w:tc>
        <w:tc>
          <w:tcPr>
            <w:tcW w:type="dxa" w:w="2160"/>
          </w:tcPr>
          <w:p>
            <w:r>
              <w:rPr>
                <w:rFonts w:ascii="Calibri" w:hAnsi="Calibri"/>
                <w:sz w:val="18"/>
              </w:rPr>
              <w:t>Infection Prevention &amp; Control (IPAC) / All Clinical Departments</w:t>
            </w:r>
          </w:p>
        </w:tc>
        <w:tc>
          <w:tcPr>
            <w:tcW w:type="dxa" w:w="2160"/>
            <w:shd w:fill="E8EDF3"/>
          </w:tcPr>
          <w:p>
            <w:r>
              <w:rPr>
                <w:rFonts w:ascii="Calibri" w:hAnsi="Calibri"/>
                <w:b/>
                <w:color w:val="1A3A5C"/>
                <w:sz w:val="18"/>
              </w:rPr>
              <w:t>Page:</w:t>
            </w:r>
          </w:p>
        </w:tc>
        <w:tc>
          <w:tcPr>
            <w:tcW w:type="dxa" w:w="2160"/>
          </w:tcPr>
          <w:p>
            <w:r>
              <w:rPr>
                <w:rFonts w:ascii="Calibri" w:hAnsi="Calibri"/>
                <w:sz w:val="18"/>
              </w:rPr>
              <w:t>[X] of [Y]</w:t>
            </w:r>
          </w:p>
        </w:tc>
      </w:tr>
      <w:tr>
        <w:tc>
          <w:tcPr>
            <w:tcW w:type="dxa" w:w="2160"/>
            <w:shd w:fill="E8EDF3"/>
          </w:tcPr>
          <w:p>
            <w:r>
              <w:rPr>
                <w:rFonts w:ascii="Calibri" w:hAnsi="Calibri"/>
                <w:b/>
                <w:color w:val="1A3A5C"/>
                <w:sz w:val="18"/>
              </w:rPr>
              <w:t>Prepared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Reviewed By:</w:t>
            </w:r>
          </w:p>
        </w:tc>
        <w:tc>
          <w:tcPr>
            <w:tcW w:type="dxa" w:w="2160"/>
          </w:tcPr>
          <w:p>
            <w:r>
              <w:rPr>
                <w:rFonts w:ascii="Calibri" w:hAnsi="Calibri"/>
                <w:sz w:val="18"/>
              </w:rPr>
              <w:t>[NAME / TITLE]</w:t>
            </w:r>
          </w:p>
        </w:tc>
      </w:tr>
      <w:tr>
        <w:tc>
          <w:tcPr>
            <w:tcW w:type="dxa" w:w="2160"/>
            <w:shd w:fill="E8EDF3"/>
          </w:tcPr>
          <w:p>
            <w:r>
              <w:rPr>
                <w:rFonts w:ascii="Calibri" w:hAnsi="Calibri"/>
                <w:b/>
                <w:color w:val="1A3A5C"/>
                <w:sz w:val="18"/>
              </w:rPr>
              <w:t>Approved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Next Review:</w:t>
            </w:r>
          </w:p>
        </w:tc>
        <w:tc>
          <w:tcPr>
            <w:tcW w:type="dxa" w:w="2160"/>
          </w:tcPr>
          <w:p>
            <w:r>
              <w:rPr>
                <w:rFonts w:ascii="Calibri" w:hAnsi="Calibri"/>
                <w:sz w:val="18"/>
              </w:rPr>
              <w:t>[DATE + 1 YEAR]</w:t>
            </w:r>
          </w:p>
        </w:tc>
      </w:tr>
      <w:tr>
        <w:tc>
          <w:tcPr>
            <w:tcW w:type="dxa" w:w="2160"/>
            <w:shd w:fill="E8EDF3"/>
          </w:tcPr>
          <w:p>
            <w:r>
              <w:rPr>
                <w:rFonts w:ascii="Calibri" w:hAnsi="Calibri"/>
                <w:b/>
                <w:color w:val="1A3A5C"/>
                <w:sz w:val="18"/>
              </w:rPr>
              <w:t>Supersedes:</w:t>
            </w:r>
          </w:p>
        </w:tc>
        <w:tc>
          <w:tcPr>
            <w:tcW w:type="dxa" w:w="2160"/>
          </w:tcPr>
          <w:p>
            <w:r>
              <w:rPr>
                <w:rFonts w:ascii="Calibri" w:hAnsi="Calibri"/>
                <w:sz w:val="18"/>
              </w:rPr>
              <w:t>N/A — New Document</w:t>
            </w:r>
          </w:p>
        </w:tc>
        <w:tc>
          <w:tcPr>
            <w:tcW w:type="dxa" w:w="2160"/>
            <w:shd w:fill="E8EDF3"/>
          </w:tcPr>
          <w:p>
            <w:r>
              <w:rPr>
                <w:rFonts w:ascii="Calibri" w:hAnsi="Calibri"/>
                <w:b/>
                <w:color w:val="1A3A5C"/>
                <w:sz w:val="18"/>
              </w:rPr>
              <w:t>Classification:</w:t>
            </w:r>
          </w:p>
        </w:tc>
        <w:tc>
          <w:tcPr>
            <w:tcW w:type="dxa" w:w="2160"/>
          </w:tcPr>
          <w:p>
            <w:r>
              <w:rPr>
                <w:rFonts w:ascii="Calibri" w:hAnsi="Calibri"/>
                <w:sz w:val="18"/>
              </w:rPr>
              <w:t>Internal</w:t>
            </w:r>
          </w:p>
        </w:tc>
      </w:tr>
    </w:tbl>
    <w:p>
      <w:pPr>
        <w:pStyle w:val="Heading2"/>
      </w:pPr>
      <w:r>
        <w:t>2. Purpose</w:t>
      </w:r>
    </w:p>
    <w:p>
      <w:r>
        <w:rPr>
          <w:rFonts w:ascii="Calibri" w:hAnsi="Calibri"/>
          <w:sz w:val="20"/>
        </w:rPr>
        <w:t>To establish standardized infection prevention and control (IPAC) practices that protect patients, staff, and visitors from healthcare-associated infections (HAIs). This SOP covers hand hygiene, personal protective equipment (PPE), isolation precautions, environmental cleaning, sharps disposal, linen handling, outbreak response, and staff exposure management.</w:t>
      </w:r>
    </w:p>
    <w:p>
      <w:pPr>
        <w:pStyle w:val="Heading2"/>
      </w:pPr>
      <w:r>
        <w:t>3. Scope</w:t>
      </w:r>
    </w:p>
    <w:p>
      <w:r>
        <w:rPr>
          <w:rFonts w:ascii="Calibri" w:hAnsi="Calibri"/>
          <w:sz w:val="20"/>
        </w:rPr>
        <w:t>This SOP applies to ALL personnel at [COMPANY NAME] including clinical staff (nurses, physicians, allied health), support staff (housekeeping, dietary, porters), administrative staff, students, volunteers, and contractors working in clinical areas.</w:t>
      </w:r>
    </w:p>
    <w:p>
      <w:pPr>
        <w:pStyle w:val="Heading2"/>
      </w:pPr>
      <w:r>
        <w:t>4. Responsibilities</w:t>
      </w:r>
    </w:p>
    <w:p>
      <w:r>
        <w:rPr>
          <w:rFonts w:ascii="Calibri" w:hAnsi="Calibri"/>
          <w:b/>
          <w:sz w:val="20"/>
        </w:rPr>
        <w:t xml:space="preserve">All Staff: </w:t>
      </w:r>
      <w:r>
        <w:rPr>
          <w:rFonts w:ascii="Calibri" w:hAnsi="Calibri"/>
          <w:sz w:val="20"/>
        </w:rPr>
        <w:t>Perform hand hygiene per WHO 5 Moments protocol. Use PPE as required. Report infections, exposures, and breaches.</w:t>
      </w:r>
    </w:p>
    <w:p>
      <w:r>
        <w:rPr>
          <w:rFonts w:ascii="Calibri" w:hAnsi="Calibri"/>
          <w:b/>
          <w:sz w:val="20"/>
        </w:rPr>
        <w:t xml:space="preserve">IPAC Practitioner / Designate: </w:t>
      </w:r>
      <w:r>
        <w:rPr>
          <w:rFonts w:ascii="Calibri" w:hAnsi="Calibri"/>
          <w:sz w:val="20"/>
        </w:rPr>
        <w:t>Develop, update, and monitor IPAC policies. Conduct surveillance. Manage outbreaks. Provide education and training.</w:t>
      </w:r>
    </w:p>
    <w:p>
      <w:r>
        <w:rPr>
          <w:rFonts w:ascii="Calibri" w:hAnsi="Calibri"/>
          <w:b/>
          <w:sz w:val="20"/>
        </w:rPr>
        <w:t xml:space="preserve">Nursing / Clinical Staff: </w:t>
      </w:r>
      <w:r>
        <w:rPr>
          <w:rFonts w:ascii="Calibri" w:hAnsi="Calibri"/>
          <w:sz w:val="20"/>
        </w:rPr>
        <w:t>Implement isolation precautions, perform patient assessments for infection risk, and ensure compliance with IPAC protocols at the point of care.</w:t>
      </w:r>
    </w:p>
    <w:p>
      <w:r>
        <w:rPr>
          <w:rFonts w:ascii="Calibri" w:hAnsi="Calibri"/>
          <w:b/>
          <w:sz w:val="20"/>
        </w:rPr>
        <w:t xml:space="preserve">Housekeeping / Environmental Services: </w:t>
      </w:r>
      <w:r>
        <w:rPr>
          <w:rFonts w:ascii="Calibri" w:hAnsi="Calibri"/>
          <w:sz w:val="20"/>
        </w:rPr>
        <w:t>Perform routine and enhanced cleaning and disinfection per approved protocols. Manage waste segregation.</w:t>
      </w:r>
    </w:p>
    <w:p>
      <w:r>
        <w:rPr>
          <w:rFonts w:ascii="Calibri" w:hAnsi="Calibri"/>
          <w:b/>
          <w:sz w:val="20"/>
        </w:rPr>
        <w:t xml:space="preserve">Occupational Health: </w:t>
      </w:r>
      <w:r>
        <w:rPr>
          <w:rFonts w:ascii="Calibri" w:hAnsi="Calibri"/>
          <w:sz w:val="20"/>
        </w:rPr>
        <w:t>Manage staff immunization records, post-exposure prophylaxis, and return-to-work assessments following communicable disease exposure.</w:t>
      </w:r>
    </w:p>
    <w:p>
      <w:pPr>
        <w:pStyle w:val="Heading2"/>
      </w:pPr>
      <w:r>
        <w:t>5. Equipment &amp; Materials Required</w:t>
      </w:r>
    </w:p>
    <w:p>
      <w:pPr>
        <w:pStyle w:val="ListBullet"/>
      </w:pPr>
      <w:r>
        <w:rPr>
          <w:rFonts w:ascii="Calibri" w:hAnsi="Calibri"/>
          <w:sz w:val="20"/>
        </w:rPr>
        <w:t>Alcohol-based hand rub (ABHR) dispensers at point of care and facility entrances</w:t>
      </w:r>
    </w:p>
    <w:p>
      <w:pPr>
        <w:pStyle w:val="ListBullet"/>
      </w:pPr>
      <w:r>
        <w:rPr>
          <w:rFonts w:ascii="Calibri" w:hAnsi="Calibri"/>
          <w:sz w:val="20"/>
        </w:rPr>
        <w:t>Soap and water at all handwashing sinks</w:t>
      </w:r>
    </w:p>
    <w:p>
      <w:pPr>
        <w:pStyle w:val="ListBullet"/>
      </w:pPr>
      <w:r>
        <w:rPr>
          <w:rFonts w:ascii="Calibri" w:hAnsi="Calibri"/>
          <w:sz w:val="20"/>
        </w:rPr>
        <w:t>PPE supply: gloves (nitrile, non-latex), isolation gowns, surgical masks, N95 respirators (fit-tested), face shields/goggles</w:t>
      </w:r>
    </w:p>
    <w:p>
      <w:pPr>
        <w:pStyle w:val="ListBullet"/>
      </w:pPr>
      <w:r>
        <w:rPr>
          <w:rFonts w:ascii="Calibri" w:hAnsi="Calibri"/>
          <w:sz w:val="20"/>
        </w:rPr>
        <w:t>Sharps containers (wall-mounted and portable)</w:t>
      </w:r>
    </w:p>
    <w:p>
      <w:pPr>
        <w:pStyle w:val="ListBullet"/>
      </w:pPr>
      <w:r>
        <w:rPr>
          <w:rFonts w:ascii="Calibri" w:hAnsi="Calibri"/>
          <w:sz w:val="20"/>
        </w:rPr>
        <w:t>Biohazard waste bags (yellow) and general waste bags</w:t>
      </w:r>
    </w:p>
    <w:p>
      <w:pPr>
        <w:pStyle w:val="ListBullet"/>
      </w:pPr>
      <w:r>
        <w:rPr>
          <w:rFonts w:ascii="Calibri" w:hAnsi="Calibri"/>
          <w:sz w:val="20"/>
        </w:rPr>
        <w:t>Hospital-grade disinfectant wipes and solutions (approved product list maintained by IPAC)</w:t>
      </w:r>
    </w:p>
    <w:p>
      <w:pPr>
        <w:pStyle w:val="ListBullet"/>
      </w:pPr>
      <w:r>
        <w:rPr>
          <w:rFonts w:ascii="Calibri" w:hAnsi="Calibri"/>
          <w:sz w:val="20"/>
        </w:rPr>
        <w:t>Isolation signage (Contact, Droplet, Airborne, Enhanced precautions)</w:t>
      </w:r>
    </w:p>
    <w:p>
      <w:pPr>
        <w:pStyle w:val="ListBullet"/>
      </w:pPr>
      <w:r>
        <w:rPr>
          <w:rFonts w:ascii="Calibri" w:hAnsi="Calibri"/>
          <w:sz w:val="20"/>
        </w:rPr>
        <w:t>Negative pressure room (for airborne isolation, where available)</w:t>
      </w:r>
    </w:p>
    <w:p>
      <w:pPr>
        <w:pStyle w:val="Heading2"/>
      </w:pPr>
      <w:r>
        <w:t>6. Safety Requirements</w:t>
      </w:r>
    </w:p>
    <w:p>
      <w:pPr>
        <w:pStyle w:val="ListBullet"/>
      </w:pPr>
      <w:r>
        <w:rPr>
          <w:rFonts w:ascii="Calibri" w:hAnsi="Calibri"/>
          <w:sz w:val="20"/>
        </w:rPr>
        <w:t>Hand hygiene is the single most effective measure to prevent healthcare-associated infections</w:t>
      </w:r>
    </w:p>
    <w:p>
      <w:pPr>
        <w:pStyle w:val="ListBullet"/>
      </w:pPr>
      <w:r>
        <w:rPr>
          <w:rFonts w:ascii="Calibri" w:hAnsi="Calibri"/>
          <w:sz w:val="20"/>
        </w:rPr>
        <w:t>NEVER reuse single-use PPE items</w:t>
      </w:r>
    </w:p>
    <w:p>
      <w:pPr>
        <w:pStyle w:val="ListBullet"/>
      </w:pPr>
      <w:r>
        <w:rPr>
          <w:rFonts w:ascii="Calibri" w:hAnsi="Calibri"/>
          <w:sz w:val="20"/>
        </w:rPr>
        <w:t>NEVER recap needles or sharps — dispose directly into sharps container</w:t>
      </w:r>
    </w:p>
    <w:p>
      <w:pPr>
        <w:pStyle w:val="ListBullet"/>
      </w:pPr>
      <w:r>
        <w:rPr>
          <w:rFonts w:ascii="Calibri" w:hAnsi="Calibri"/>
          <w:sz w:val="20"/>
        </w:rPr>
        <w:t>Report ALL needlestick injuries and body fluid exposures immediately to Occupational Health</w:t>
      </w:r>
    </w:p>
    <w:p>
      <w:pPr>
        <w:pStyle w:val="ListBullet"/>
      </w:pPr>
      <w:r>
        <w:rPr>
          <w:rFonts w:ascii="Calibri" w:hAnsi="Calibri"/>
          <w:sz w:val="20"/>
        </w:rPr>
        <w:t>Staff with symptoms of communicable illness (fever, cough, vomiting, diarrhea, rash) must NOT report to clinical areas until cleared</w:t>
      </w:r>
    </w:p>
    <w:p>
      <w:pPr>
        <w:pStyle w:val="Heading2"/>
      </w:pPr>
      <w:r>
        <w:t>7. Procedure</w:t>
      </w:r>
    </w:p>
    <w:p>
      <w:r>
        <w:rPr>
          <w:rFonts w:ascii="Calibri" w:hAnsi="Calibri"/>
          <w:b/>
          <w:color w:val="2C7BE5"/>
          <w:sz w:val="22"/>
        </w:rPr>
        <w:t>7.1 Hand Hygiene — WHO 5 Moments</w:t>
      </w:r>
    </w:p>
    <w:p>
      <w:r>
        <w:rPr>
          <w:rFonts w:ascii="Calibri" w:hAnsi="Calibri"/>
          <w:sz w:val="20"/>
        </w:rPr>
        <w:t>Perform hand hygiene at all 5 WHO Moments:</w:t>
      </w:r>
    </w:p>
    <w:p>
      <w:r>
        <w:rPr>
          <w:rFonts w:ascii="Calibri" w:hAnsi="Calibri"/>
          <w:sz w:val="20"/>
        </w:rPr>
        <w:t>1. BEFORE touching a patient</w:t>
      </w:r>
    </w:p>
    <w:p>
      <w:r>
        <w:rPr>
          <w:rFonts w:ascii="Calibri" w:hAnsi="Calibri"/>
          <w:sz w:val="20"/>
        </w:rPr>
        <w:t>2. BEFORE a clean/aseptic procedure (e.g., IV insertion, wound care, catheterization)</w:t>
      </w:r>
    </w:p>
    <w:p>
      <w:r>
        <w:rPr>
          <w:rFonts w:ascii="Calibri" w:hAnsi="Calibri"/>
          <w:sz w:val="20"/>
        </w:rPr>
        <w:t>3. AFTER body fluid exposure risk (e.g., after handling dressings, specimens, or contaminated equipment)</w:t>
      </w:r>
    </w:p>
    <w:p>
      <w:r>
        <w:rPr>
          <w:rFonts w:ascii="Calibri" w:hAnsi="Calibri"/>
          <w:sz w:val="20"/>
        </w:rPr>
        <w:t>4. AFTER touching a patient</w:t>
      </w:r>
    </w:p>
    <w:p>
      <w:r>
        <w:rPr>
          <w:rFonts w:ascii="Calibri" w:hAnsi="Calibri"/>
          <w:sz w:val="20"/>
        </w:rPr>
        <w:t>5. AFTER touching patient surroundings (bed rails, IV pole, call bell, bedside table)</w:t>
      </w:r>
    </w:p>
    <w:p/>
    <w:p>
      <w:r>
        <w:rPr>
          <w:rFonts w:ascii="Calibri" w:hAnsi="Calibri"/>
          <w:sz w:val="20"/>
        </w:rPr>
        <w:t>Hand Hygiene Technique:</w:t>
      </w:r>
    </w:p>
    <w:p>
      <w:pPr>
        <w:pStyle w:val="ListBullet"/>
      </w:pPr>
      <w:r>
        <w:rPr>
          <w:rFonts w:ascii="Calibri" w:hAnsi="Calibri"/>
          <w:sz w:val="20"/>
        </w:rPr>
        <w:t>Alcohol-Based Hand Rub (ABHR): Apply 1-2 pumps. Rub all surfaces of hands (palms, backs, between fingers, thumbs, fingertips, wrists) for minimum 20 seconds until dry. Do NOT wipe or rinse.</w:t>
      </w:r>
    </w:p>
    <w:p>
      <w:pPr>
        <w:pStyle w:val="ListBullet"/>
      </w:pPr>
      <w:r>
        <w:rPr>
          <w:rFonts w:ascii="Calibri" w:hAnsi="Calibri"/>
          <w:sz w:val="20"/>
        </w:rPr>
        <w:t>Soap and Water: Required when hands are visibly soiled, after caring for patients with C. difficile or norovirus, and after using the restroom. Wet hands, apply soap, lather all surfaces for minimum 20 seconds, rinse, dry with single-use paper towel, use towel to turn off faucet.</w:t>
      </w:r>
    </w:p>
    <w:p>
      <w:r>
        <w:rPr>
          <w:rFonts w:ascii="Calibri" w:hAnsi="Calibri"/>
          <w:b/>
          <w:color w:val="2C7BE5"/>
          <w:sz w:val="22"/>
        </w:rPr>
        <w:t>7.2 PPE Selection and Donning/Doffing</w:t>
      </w:r>
    </w:p>
    <w:p>
      <w:r>
        <w:rPr>
          <w:rFonts w:ascii="Calibri" w:hAnsi="Calibri"/>
          <w:sz w:val="20"/>
        </w:rPr>
        <w:t>PPE Selection by Precaution Type:</w:t>
      </w:r>
    </w:p>
    <w:p>
      <w:pPr>
        <w:pStyle w:val="ListBullet"/>
      </w:pPr>
      <w:r>
        <w:rPr>
          <w:rFonts w:ascii="Calibri" w:hAnsi="Calibri"/>
          <w:sz w:val="20"/>
        </w:rPr>
        <w:t>Routine Practices (all patients): Gloves + gown if risk of body fluid exposure</w:t>
      </w:r>
    </w:p>
    <w:p>
      <w:pPr>
        <w:pStyle w:val="ListBullet"/>
      </w:pPr>
      <w:r>
        <w:rPr>
          <w:rFonts w:ascii="Calibri" w:hAnsi="Calibri"/>
          <w:sz w:val="20"/>
        </w:rPr>
        <w:t>Contact Precautions: Gloves + gown for all room entry</w:t>
      </w:r>
    </w:p>
    <w:p>
      <w:pPr>
        <w:pStyle w:val="ListBullet"/>
      </w:pPr>
      <w:r>
        <w:rPr>
          <w:rFonts w:ascii="Calibri" w:hAnsi="Calibri"/>
          <w:sz w:val="20"/>
        </w:rPr>
        <w:t>Droplet Precautions: Surgical mask + gloves + gown + eye protection within 2 meters</w:t>
      </w:r>
    </w:p>
    <w:p>
      <w:pPr>
        <w:pStyle w:val="ListBullet"/>
      </w:pPr>
      <w:r>
        <w:rPr>
          <w:rFonts w:ascii="Calibri" w:hAnsi="Calibri"/>
          <w:sz w:val="20"/>
        </w:rPr>
        <w:t>Airborne Precautions: N95 respirator (fit-tested) + gloves + gown + eye protection; negative pressure room required</w:t>
      </w:r>
    </w:p>
    <w:p/>
    <w:p>
      <w:r>
        <w:rPr>
          <w:rFonts w:ascii="Calibri" w:hAnsi="Calibri"/>
          <w:sz w:val="20"/>
        </w:rPr>
        <w:t>DONNING Sequence (putting ON):</w:t>
      </w:r>
    </w:p>
    <w:p>
      <w:r>
        <w:rPr>
          <w:rFonts w:ascii="Calibri" w:hAnsi="Calibri"/>
          <w:sz w:val="20"/>
        </w:rPr>
        <w:t>1. Perform hand hygiene</w:t>
      </w:r>
    </w:p>
    <w:p>
      <w:r>
        <w:rPr>
          <w:rFonts w:ascii="Calibri" w:hAnsi="Calibri"/>
          <w:sz w:val="20"/>
        </w:rPr>
        <w:t>2. Put on isolation gown (tie at neck and waist)</w:t>
      </w:r>
    </w:p>
    <w:p>
      <w:r>
        <w:rPr>
          <w:rFonts w:ascii="Calibri" w:hAnsi="Calibri"/>
          <w:sz w:val="20"/>
        </w:rPr>
        <w:t>3. Put on mask or respirator (pinch nose piece, ensure seal)</w:t>
      </w:r>
    </w:p>
    <w:p>
      <w:r>
        <w:rPr>
          <w:rFonts w:ascii="Calibri" w:hAnsi="Calibri"/>
          <w:sz w:val="20"/>
        </w:rPr>
        <w:t>4. Put on eye protection (goggles or face shield)</w:t>
      </w:r>
    </w:p>
    <w:p>
      <w:r>
        <w:rPr>
          <w:rFonts w:ascii="Calibri" w:hAnsi="Calibri"/>
          <w:sz w:val="20"/>
        </w:rPr>
        <w:t>5. Put on gloves (extend over gown cuffs)</w:t>
      </w:r>
    </w:p>
    <w:p/>
    <w:p>
      <w:r>
        <w:rPr>
          <w:rFonts w:ascii="Calibri" w:hAnsi="Calibri"/>
          <w:sz w:val="20"/>
        </w:rPr>
        <w:t>DOFFING Sequence (taking OFF) — highest contamination risk:</w:t>
      </w:r>
    </w:p>
    <w:p>
      <w:r>
        <w:rPr>
          <w:rFonts w:ascii="Calibri" w:hAnsi="Calibri"/>
          <w:sz w:val="20"/>
        </w:rPr>
        <w:t>1. Remove gloves (peel off using glove-in-glove or bird beak technique, avoiding skin contact with outer surface)</w:t>
      </w:r>
    </w:p>
    <w:p>
      <w:r>
        <w:rPr>
          <w:rFonts w:ascii="Calibri" w:hAnsi="Calibri"/>
          <w:sz w:val="20"/>
        </w:rPr>
        <w:t>2. Perform hand hygiene</w:t>
      </w:r>
    </w:p>
    <w:p>
      <w:r>
        <w:rPr>
          <w:rFonts w:ascii="Calibri" w:hAnsi="Calibri"/>
          <w:sz w:val="20"/>
        </w:rPr>
        <w:t>3. Remove gown (unfasten ties, peel away from body, roll contaminated side inward, dispose)</w:t>
      </w:r>
    </w:p>
    <w:p>
      <w:r>
        <w:rPr>
          <w:rFonts w:ascii="Calibri" w:hAnsi="Calibri"/>
          <w:sz w:val="20"/>
        </w:rPr>
        <w:t>4. Perform hand hygiene</w:t>
      </w:r>
    </w:p>
    <w:p>
      <w:r>
        <w:rPr>
          <w:rFonts w:ascii="Calibri" w:hAnsi="Calibri"/>
          <w:sz w:val="20"/>
        </w:rPr>
        <w:t>5. Remove eye protection (handle by headband or earpieces only, place in designated bin for reprocessing or dispose if single-use)</w:t>
      </w:r>
    </w:p>
    <w:p>
      <w:r>
        <w:rPr>
          <w:rFonts w:ascii="Calibri" w:hAnsi="Calibri"/>
          <w:sz w:val="20"/>
        </w:rPr>
        <w:t>6. Remove mask/respirator (handle by ear loops or ties only, lean forward, dispose)</w:t>
      </w:r>
    </w:p>
    <w:p>
      <w:r>
        <w:rPr>
          <w:rFonts w:ascii="Calibri" w:hAnsi="Calibri"/>
          <w:sz w:val="20"/>
        </w:rPr>
        <w:t>7. Perform hand hygiene</w:t>
      </w:r>
    </w:p>
    <w:p>
      <w:r>
        <w:rPr>
          <w:rFonts w:ascii="Calibri" w:hAnsi="Calibri"/>
          <w:b/>
          <w:color w:val="2C7BE5"/>
          <w:sz w:val="22"/>
        </w:rPr>
        <w:t>7.3 Isolation Precautions</w:t>
      </w:r>
    </w:p>
    <w:p>
      <w:r>
        <w:rPr>
          <w:rFonts w:ascii="Calibri" w:hAnsi="Calibri"/>
          <w:sz w:val="20"/>
        </w:rPr>
        <w:t>Contact Precautions (e.g., MRSA, VRE, C. difficile, scabies):</w:t>
      </w:r>
    </w:p>
    <w:p>
      <w:r>
        <w:rPr>
          <w:rFonts w:ascii="Calibri" w:hAnsi="Calibri"/>
          <w:sz w:val="20"/>
        </w:rPr>
        <w:t>1. Place patient in a single room (or cohort with same organism).</w:t>
      </w:r>
    </w:p>
    <w:p>
      <w:r>
        <w:rPr>
          <w:rFonts w:ascii="Calibri" w:hAnsi="Calibri"/>
          <w:sz w:val="20"/>
        </w:rPr>
        <w:t>2. Post Contact Precautions signage on the door.</w:t>
      </w:r>
    </w:p>
    <w:p>
      <w:r>
        <w:rPr>
          <w:rFonts w:ascii="Calibri" w:hAnsi="Calibri"/>
          <w:sz w:val="20"/>
        </w:rPr>
        <w:t>3. Don gloves and gown before room entry. Remove before exiting.</w:t>
      </w:r>
    </w:p>
    <w:p>
      <w:r>
        <w:rPr>
          <w:rFonts w:ascii="Calibri" w:hAnsi="Calibri"/>
          <w:sz w:val="20"/>
        </w:rPr>
        <w:t>4. Use dedicated patient equipment (stethoscope, BP cuff, thermometer).</w:t>
      </w:r>
    </w:p>
    <w:p>
      <w:r>
        <w:rPr>
          <w:rFonts w:ascii="Calibri" w:hAnsi="Calibri"/>
          <w:sz w:val="20"/>
        </w:rPr>
        <w:t>5. Perform enhanced environmental cleaning with sporicidal agent for C. difficile.</w:t>
      </w:r>
    </w:p>
    <w:p/>
    <w:p>
      <w:r>
        <w:rPr>
          <w:rFonts w:ascii="Calibri" w:hAnsi="Calibri"/>
          <w:sz w:val="20"/>
        </w:rPr>
        <w:t>Droplet Precautions (e.g., influenza, COVID-19, pertussis, meningococcal disease):</w:t>
      </w:r>
    </w:p>
    <w:p>
      <w:r>
        <w:rPr>
          <w:rFonts w:ascii="Calibri" w:hAnsi="Calibri"/>
          <w:sz w:val="20"/>
        </w:rPr>
        <w:t>1. Place patient in a single room with the door closed.</w:t>
      </w:r>
    </w:p>
    <w:p>
      <w:r>
        <w:rPr>
          <w:rFonts w:ascii="Calibri" w:hAnsi="Calibri"/>
          <w:sz w:val="20"/>
        </w:rPr>
        <w:t>2. Post Droplet Precautions signage.</w:t>
      </w:r>
    </w:p>
    <w:p>
      <w:r>
        <w:rPr>
          <w:rFonts w:ascii="Calibri" w:hAnsi="Calibri"/>
          <w:sz w:val="20"/>
        </w:rPr>
        <w:t>3. Don surgical mask, gloves, gown, and eye protection before room entry.</w:t>
      </w:r>
    </w:p>
    <w:p>
      <w:r>
        <w:rPr>
          <w:rFonts w:ascii="Calibri" w:hAnsi="Calibri"/>
          <w:sz w:val="20"/>
        </w:rPr>
        <w:t>4. Patient wears a surgical mask during transport outside the room.</w:t>
      </w:r>
    </w:p>
    <w:p/>
    <w:p>
      <w:r>
        <w:rPr>
          <w:rFonts w:ascii="Calibri" w:hAnsi="Calibri"/>
          <w:sz w:val="20"/>
        </w:rPr>
        <w:t>Airborne Precautions (e.g., tuberculosis, measles, varicella, COVID-19 aerosol-generating procedures):</w:t>
      </w:r>
    </w:p>
    <w:p>
      <w:r>
        <w:rPr>
          <w:rFonts w:ascii="Calibri" w:hAnsi="Calibri"/>
          <w:sz w:val="20"/>
        </w:rPr>
        <w:t>1. Place patient in a negative pressure airborne infection isolation room (AIIR).</w:t>
      </w:r>
    </w:p>
    <w:p>
      <w:r>
        <w:rPr>
          <w:rFonts w:ascii="Calibri" w:hAnsi="Calibri"/>
          <w:sz w:val="20"/>
        </w:rPr>
        <w:t>2. Post Airborne Precautions signage.</w:t>
      </w:r>
    </w:p>
    <w:p>
      <w:r>
        <w:rPr>
          <w:rFonts w:ascii="Calibri" w:hAnsi="Calibri"/>
          <w:sz w:val="20"/>
        </w:rPr>
        <w:t>3. Don fit-tested N95 respirator, gloves, gown, and eye protection before room entry.</w:t>
      </w:r>
    </w:p>
    <w:p>
      <w:r>
        <w:rPr>
          <w:rFonts w:ascii="Calibri" w:hAnsi="Calibri"/>
          <w:sz w:val="20"/>
        </w:rPr>
        <w:t>4. Keep the door closed at all times.</w:t>
      </w:r>
    </w:p>
    <w:p>
      <w:r>
        <w:rPr>
          <w:rFonts w:ascii="Calibri" w:hAnsi="Calibri"/>
          <w:sz w:val="20"/>
        </w:rPr>
        <w:t>5. Patient wears a surgical mask during transport. Notify receiving department in advance.</w:t>
      </w:r>
    </w:p>
    <w:p>
      <w:r>
        <w:rPr>
          <w:rFonts w:ascii="Calibri" w:hAnsi="Calibri"/>
          <w:b/>
          <w:color w:val="2C7BE5"/>
          <w:sz w:val="22"/>
        </w:rPr>
        <w:t>7.4 Environmental Cleaning Protocols</w:t>
      </w:r>
    </w:p>
    <w:p>
      <w:r>
        <w:rPr>
          <w:rFonts w:ascii="Calibri" w:hAnsi="Calibri"/>
          <w:sz w:val="20"/>
        </w:rPr>
        <w:t>1. High-touch surfaces (bed rails, call bells, light switches, door handles, IV poles, bedside tables) are cleaned and disinfected at minimum twice daily and between patients.</w:t>
      </w:r>
    </w:p>
    <w:p>
      <w:r>
        <w:rPr>
          <w:rFonts w:ascii="Calibri" w:hAnsi="Calibri"/>
          <w:sz w:val="20"/>
        </w:rPr>
        <w:t>2. Use hospital-grade disinfectant from the approved product list. Follow manufacturer's contact time (wet dwell time).</w:t>
      </w:r>
    </w:p>
    <w:p>
      <w:r>
        <w:rPr>
          <w:rFonts w:ascii="Calibri" w:hAnsi="Calibri"/>
          <w:sz w:val="20"/>
        </w:rPr>
        <w:t>3. Clean from least contaminated to most contaminated areas. Clean from top to bottom.</w:t>
      </w:r>
    </w:p>
    <w:p>
      <w:r>
        <w:rPr>
          <w:rFonts w:ascii="Calibri" w:hAnsi="Calibri"/>
          <w:sz w:val="20"/>
        </w:rPr>
        <w:t>4. Terminal cleaning (discharge/transfer clean) includes: all surfaces, bed frame and mattress, bathroom, floor, and all reusable equipment in the room.</w:t>
      </w:r>
    </w:p>
    <w:p>
      <w:r>
        <w:rPr>
          <w:rFonts w:ascii="Calibri" w:hAnsi="Calibri"/>
          <w:sz w:val="20"/>
        </w:rPr>
        <w:t>5. For patients on isolation precautions, use the organism-specific disinfectant (e.g., sporicidal for C. difficile, virucidal for norovirus).</w:t>
      </w:r>
    </w:p>
    <w:p>
      <w:r>
        <w:rPr>
          <w:rFonts w:ascii="Calibri" w:hAnsi="Calibri"/>
          <w:sz w:val="20"/>
        </w:rPr>
        <w:t>6. Document cleaning completion on the room cleaning verification log.</w:t>
      </w:r>
    </w:p>
    <w:p>
      <w:r>
        <w:rPr>
          <w:rFonts w:ascii="Calibri" w:hAnsi="Calibri"/>
          <w:b/>
          <w:color w:val="2C7BE5"/>
          <w:sz w:val="22"/>
        </w:rPr>
        <w:t>7.5 Sharps Disposal &amp; Linen Handling</w:t>
      </w:r>
    </w:p>
    <w:p>
      <w:r>
        <w:rPr>
          <w:rFonts w:ascii="Calibri" w:hAnsi="Calibri"/>
          <w:sz w:val="20"/>
        </w:rPr>
        <w:t>Sharps Disposal:</w:t>
      </w:r>
    </w:p>
    <w:p>
      <w:r>
        <w:rPr>
          <w:rFonts w:ascii="Calibri" w:hAnsi="Calibri"/>
          <w:sz w:val="20"/>
        </w:rPr>
        <w:t>1. NEVER recap, bend, or break used needles.</w:t>
      </w:r>
    </w:p>
    <w:p>
      <w:r>
        <w:rPr>
          <w:rFonts w:ascii="Calibri" w:hAnsi="Calibri"/>
          <w:sz w:val="20"/>
        </w:rPr>
        <w:t>2. Dispose of sharps immediately after use into a puncture-resistant, labeled sharps container.</w:t>
      </w:r>
    </w:p>
    <w:p>
      <w:r>
        <w:rPr>
          <w:rFonts w:ascii="Calibri" w:hAnsi="Calibri"/>
          <w:sz w:val="20"/>
        </w:rPr>
        <w:t>3. Replace sharps containers when they reach the 3/4 full line. NEVER reach into a sharps container.</w:t>
      </w:r>
    </w:p>
    <w:p>
      <w:r>
        <w:rPr>
          <w:rFonts w:ascii="Calibri" w:hAnsi="Calibri"/>
          <w:sz w:val="20"/>
        </w:rPr>
        <w:t>4. Transport sealed sharps containers to the biohazard waste area per facility waste management schedule.</w:t>
      </w:r>
    </w:p>
    <w:p/>
    <w:p>
      <w:r>
        <w:rPr>
          <w:rFonts w:ascii="Calibri" w:hAnsi="Calibri"/>
          <w:sz w:val="20"/>
        </w:rPr>
        <w:t>Linen Handling:</w:t>
      </w:r>
    </w:p>
    <w:p>
      <w:r>
        <w:rPr>
          <w:rFonts w:ascii="Calibri" w:hAnsi="Calibri"/>
          <w:sz w:val="20"/>
        </w:rPr>
        <w:t>1. Handle all used linen as potentially contaminated. Wear gloves.</w:t>
      </w:r>
    </w:p>
    <w:p>
      <w:r>
        <w:rPr>
          <w:rFonts w:ascii="Calibri" w:hAnsi="Calibri"/>
          <w:sz w:val="20"/>
        </w:rPr>
        <w:t>2. Do NOT shake or toss linen. Fold contaminated side inward.</w:t>
      </w:r>
    </w:p>
    <w:p>
      <w:r>
        <w:rPr>
          <w:rFonts w:ascii="Calibri" w:hAnsi="Calibri"/>
          <w:sz w:val="20"/>
        </w:rPr>
        <w:t>3. Place used linen directly into linen hamper bags at the point of use. Do NOT place on the floor.</w:t>
      </w:r>
    </w:p>
    <w:p>
      <w:r>
        <w:rPr>
          <w:rFonts w:ascii="Calibri" w:hAnsi="Calibri"/>
          <w:sz w:val="20"/>
        </w:rPr>
        <w:t>4. Linen from isolation rooms is handled the same as regular linen (standard laundry process is sufficient).</w:t>
      </w:r>
    </w:p>
    <w:p>
      <w:r>
        <w:rPr>
          <w:rFonts w:ascii="Calibri" w:hAnsi="Calibri"/>
          <w:sz w:val="20"/>
        </w:rPr>
        <w:t>5. Transport full linen bags in closed carts to the laundry staging area.</w:t>
      </w:r>
    </w:p>
    <w:p>
      <w:r>
        <w:rPr>
          <w:rFonts w:ascii="Calibri" w:hAnsi="Calibri"/>
          <w:b/>
          <w:color w:val="2C7BE5"/>
          <w:sz w:val="22"/>
        </w:rPr>
        <w:t>7.6 Outbreak Response</w:t>
      </w:r>
    </w:p>
    <w:p>
      <w:r>
        <w:rPr>
          <w:rFonts w:ascii="Calibri" w:hAnsi="Calibri"/>
          <w:sz w:val="20"/>
        </w:rPr>
        <w:t>1. If two or more patients in the same unit develop the same infection within 72 hours, notify the IPAC Practitioner immediately.</w:t>
      </w:r>
    </w:p>
    <w:p>
      <w:r>
        <w:rPr>
          <w:rFonts w:ascii="Calibri" w:hAnsi="Calibri"/>
          <w:sz w:val="20"/>
        </w:rPr>
        <w:t>2. IPAC Practitioner will assess and declare an outbreak in consultation with the Medical Director and Public Health.</w:t>
      </w:r>
    </w:p>
    <w:p>
      <w:r>
        <w:rPr>
          <w:rFonts w:ascii="Calibri" w:hAnsi="Calibri"/>
          <w:sz w:val="20"/>
        </w:rPr>
        <w:t>3. Implement outbreak measures: enhanced cleaning, cohorting of affected patients, dedicated staffing, visitor restrictions, increased hand hygiene audits, enhanced surveillance.</w:t>
      </w:r>
    </w:p>
    <w:p>
      <w:r>
        <w:rPr>
          <w:rFonts w:ascii="Calibri" w:hAnsi="Calibri"/>
          <w:sz w:val="20"/>
        </w:rPr>
        <w:t>4. Collect specimens for laboratory confirmation per IPAC direction.</w:t>
      </w:r>
    </w:p>
    <w:p>
      <w:r>
        <w:rPr>
          <w:rFonts w:ascii="Calibri" w:hAnsi="Calibri"/>
          <w:sz w:val="20"/>
        </w:rPr>
        <w:t>5. Communicate outbreak status to all affected staff, patients, and families.</w:t>
      </w:r>
    </w:p>
    <w:p>
      <w:r>
        <w:rPr>
          <w:rFonts w:ascii="Calibri" w:hAnsi="Calibri"/>
          <w:sz w:val="20"/>
        </w:rPr>
        <w:t>6. Public Health notification is mandatory for reportable diseases (per provincial/state requirements).</w:t>
      </w:r>
    </w:p>
    <w:p>
      <w:r>
        <w:rPr>
          <w:rFonts w:ascii="Calibri" w:hAnsi="Calibri"/>
          <w:sz w:val="20"/>
        </w:rPr>
        <w:t>7. Outbreak is declared over when no new cases occur for two incubation periods of the causative organism.</w:t>
      </w:r>
    </w:p>
    <w:p>
      <w:r>
        <w:rPr>
          <w:rFonts w:ascii="Calibri" w:hAnsi="Calibri"/>
          <w:b/>
          <w:color w:val="2C7BE5"/>
          <w:sz w:val="22"/>
        </w:rPr>
        <w:t>7.7 Staff Exposure Protocol</w:t>
      </w:r>
    </w:p>
    <w:p>
      <w:r>
        <w:rPr>
          <w:rFonts w:ascii="Calibri" w:hAnsi="Calibri"/>
          <w:sz w:val="20"/>
        </w:rPr>
        <w:t>1. For needlestick or sharps injury: Allow wound to bleed freely. Wash with soap and water. Do NOT squeeze. Report to Occupational Health immediately.</w:t>
      </w:r>
    </w:p>
    <w:p>
      <w:r>
        <w:rPr>
          <w:rFonts w:ascii="Calibri" w:hAnsi="Calibri"/>
          <w:sz w:val="20"/>
        </w:rPr>
        <w:t>2. For mucous membrane exposure (splash to eyes, nose, mouth): Flush with water or saline for minimum 5 minutes. Report to Occupational Health.</w:t>
      </w:r>
    </w:p>
    <w:p>
      <w:r>
        <w:rPr>
          <w:rFonts w:ascii="Calibri" w:hAnsi="Calibri"/>
          <w:sz w:val="20"/>
        </w:rPr>
        <w:t>3. Occupational Health will assess the exposure, identify the source patient (if known), and initiate post-exposure testing and prophylaxis as appropriate.</w:t>
      </w:r>
    </w:p>
    <w:p>
      <w:r>
        <w:rPr>
          <w:rFonts w:ascii="Calibri" w:hAnsi="Calibri"/>
          <w:sz w:val="20"/>
        </w:rPr>
        <w:t>4. Document the exposure on an Incident Report and the Occupational Health Exposure Record.</w:t>
      </w:r>
    </w:p>
    <w:p>
      <w:r>
        <w:rPr>
          <w:rFonts w:ascii="Calibri" w:hAnsi="Calibri"/>
          <w:sz w:val="20"/>
        </w:rPr>
        <w:t>5. Follow-up testing at intervals per Occupational Health protocol (e.g., baseline, 6 weeks, 3 months, 6 months for bloodborne pathogen exposure).</w:t>
      </w:r>
    </w:p>
    <w:p>
      <w:pPr>
        <w:pStyle w:val="Heading2"/>
      </w:pPr>
      <w:r>
        <w:t>8. Quality Checkpoints</w:t>
      </w:r>
    </w:p>
    <w:p>
      <w:pPr>
        <w:pStyle w:val="ListBullet"/>
      </w:pPr>
      <w:r>
        <w:rPr>
          <w:rFonts w:ascii="Calibri" w:hAnsi="Calibri"/>
          <w:sz w:val="20"/>
        </w:rPr>
        <w:t>Hand hygiene compliance rate: target 90%+ (measured by direct observation audits)</w:t>
      </w:r>
    </w:p>
    <w:p>
      <w:pPr>
        <w:pStyle w:val="ListBullet"/>
      </w:pPr>
      <w:r>
        <w:rPr>
          <w:rFonts w:ascii="Calibri" w:hAnsi="Calibri"/>
          <w:sz w:val="20"/>
        </w:rPr>
        <w:t>PPE donning/doffing technique: annual competency assessment for all clinical staff</w:t>
      </w:r>
    </w:p>
    <w:p>
      <w:pPr>
        <w:pStyle w:val="ListBullet"/>
      </w:pPr>
      <w:r>
        <w:rPr>
          <w:rFonts w:ascii="Calibri" w:hAnsi="Calibri"/>
          <w:sz w:val="20"/>
        </w:rPr>
        <w:t>Sharps container fill level: none observed above 3/4 full line</w:t>
      </w:r>
    </w:p>
    <w:p>
      <w:pPr>
        <w:pStyle w:val="ListBullet"/>
      </w:pPr>
      <w:r>
        <w:rPr>
          <w:rFonts w:ascii="Calibri" w:hAnsi="Calibri"/>
          <w:sz w:val="20"/>
        </w:rPr>
        <w:t>Isolation precautions implemented within 1 hour of order/identification</w:t>
      </w:r>
    </w:p>
    <w:p>
      <w:pPr>
        <w:pStyle w:val="ListBullet"/>
      </w:pPr>
      <w:r>
        <w:rPr>
          <w:rFonts w:ascii="Calibri" w:hAnsi="Calibri"/>
          <w:sz w:val="20"/>
        </w:rPr>
        <w:t>Environmental cleaning verification logs complete (target: 100%)</w:t>
      </w:r>
    </w:p>
    <w:p>
      <w:pPr>
        <w:pStyle w:val="ListBullet"/>
      </w:pPr>
      <w:r>
        <w:rPr>
          <w:rFonts w:ascii="Calibri" w:hAnsi="Calibri"/>
          <w:sz w:val="20"/>
        </w:rPr>
        <w:t>Healthcare-associated infection rates tracked monthly (target: below national benchmark)</w:t>
      </w:r>
    </w:p>
    <w:p>
      <w:pPr>
        <w:pStyle w:val="Heading2"/>
      </w:pPr>
      <w:r>
        <w:t>9. Troubleshooting</w:t>
      </w:r>
    </w:p>
    <w:p>
      <w:r>
        <w:rPr>
          <w:rFonts w:ascii="Calibri" w:hAnsi="Calibri"/>
          <w:b/>
          <w:sz w:val="20"/>
        </w:rPr>
        <w:t>Issue: ABHR dispensers empty</w:t>
      </w:r>
    </w:p>
    <w:p>
      <w:r>
        <w:rPr>
          <w:rFonts w:ascii="Calibri" w:hAnsi="Calibri"/>
          <w:sz w:val="20"/>
        </w:rPr>
        <w:t>Resolution: Replace immediately. Report to Facilities for restocking. Soap and water is acceptable interim alternative. NEVER delay hand hygiene.</w:t>
      </w:r>
    </w:p>
    <w:p>
      <w:r>
        <w:rPr>
          <w:rFonts w:ascii="Calibri" w:hAnsi="Calibri"/>
          <w:b/>
          <w:sz w:val="20"/>
        </w:rPr>
        <w:t>Issue: N95 respirator fails fit check</w:t>
      </w:r>
    </w:p>
    <w:p>
      <w:r>
        <w:rPr>
          <w:rFonts w:ascii="Calibri" w:hAnsi="Calibri"/>
          <w:sz w:val="20"/>
        </w:rPr>
        <w:t>Resolution: Do NOT enter airborne isolation room. Use an alternative N95 model (staff should be fit-tested on 2+ models). Contact IPAC or Occupational Health.</w:t>
      </w:r>
    </w:p>
    <w:p>
      <w:r>
        <w:rPr>
          <w:rFonts w:ascii="Calibri" w:hAnsi="Calibri"/>
          <w:b/>
          <w:sz w:val="20"/>
        </w:rPr>
        <w:t>Issue: PPE supply shortage</w:t>
      </w:r>
    </w:p>
    <w:p>
      <w:r>
        <w:rPr>
          <w:rFonts w:ascii="Calibri" w:hAnsi="Calibri"/>
          <w:sz w:val="20"/>
        </w:rPr>
        <w:t>Resolution: Notify manager and IPAC immediately. Implement conservation strategies per pandemic/shortage protocol. Do NOT reuse single-use items unless explicitly authorized by IPAC with decontamination protocol.</w:t>
      </w:r>
    </w:p>
    <w:p>
      <w:r>
        <w:rPr>
          <w:rFonts w:ascii="Calibri" w:hAnsi="Calibri"/>
          <w:b/>
          <w:sz w:val="20"/>
        </w:rPr>
        <w:t>Issue: Staff develops symptoms of communicable illness</w:t>
      </w:r>
    </w:p>
    <w:p>
      <w:r>
        <w:rPr>
          <w:rFonts w:ascii="Calibri" w:hAnsi="Calibri"/>
          <w:sz w:val="20"/>
        </w:rPr>
        <w:t>Resolution: Do NOT report to clinical area. Contact Occupational Health for assessment. Follow return-to-work criteria per communicable disease policy.</w:t>
      </w:r>
    </w:p>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Revision</w:t>
            </w:r>
          </w:p>
        </w:tc>
        <w:tc>
          <w:tcPr>
            <w:tcW w:type="dxa" w:w="2160"/>
            <w:shd w:fill="1A3A5C"/>
          </w:tcPr>
          <w:p>
            <w:r>
              <w:rPr>
                <w:rFonts w:ascii="Calibri" w:hAnsi="Calibri"/>
                <w:b/>
                <w:color w:val="FFFFFF"/>
                <w:sz w:val="18"/>
              </w:rPr>
              <w:t>Date</w:t>
            </w:r>
          </w:p>
        </w:tc>
        <w:tc>
          <w:tcPr>
            <w:tcW w:type="dxa" w:w="2160"/>
            <w:shd w:fill="1A3A5C"/>
          </w:tcPr>
          <w:p>
            <w:r>
              <w:rPr>
                <w:rFonts w:ascii="Calibri" w:hAnsi="Calibri"/>
                <w:b/>
                <w:color w:val="FFFFFF"/>
                <w:sz w:val="18"/>
              </w:rPr>
              <w:t>Description</w:t>
            </w:r>
          </w:p>
        </w:tc>
        <w:tc>
          <w:tcPr>
            <w:tcW w:type="dxa" w:w="2160"/>
            <w:shd w:fill="1A3A5C"/>
          </w:tcPr>
          <w:p>
            <w:r>
              <w:rPr>
                <w:rFonts w:ascii="Calibri" w:hAnsi="Calibri"/>
                <w:b/>
                <w:color w:val="FFFFFF"/>
                <w:sz w:val="18"/>
              </w:rPr>
              <w:t>Author</w:t>
            </w:r>
          </w:p>
        </w:tc>
      </w:tr>
      <w:tr>
        <w:tc>
          <w:tcPr>
            <w:tcW w:type="dxa" w:w="2160"/>
          </w:tcPr>
          <w:p>
            <w:r>
              <w:rPr>
                <w:rFonts w:ascii="Calibri" w:hAnsi="Calibri"/>
                <w:sz w:val="18"/>
              </w:rPr>
              <w:t>1.0</w:t>
            </w:r>
          </w:p>
        </w:tc>
        <w:tc>
          <w:tcPr>
            <w:tcW w:type="dxa" w:w="2160"/>
          </w:tcPr>
          <w:p>
            <w:r>
              <w:rPr>
                <w:rFonts w:ascii="Calibri" w:hAnsi="Calibri"/>
                <w:sz w:val="18"/>
              </w:rPr>
              <w:t>[DATE]</w:t>
            </w:r>
          </w:p>
        </w:tc>
        <w:tc>
          <w:tcPr>
            <w:tcW w:type="dxa" w:w="2160"/>
          </w:tcPr>
          <w:p>
            <w:r>
              <w:rPr>
                <w:rFonts w:ascii="Calibri" w:hAnsi="Calibri"/>
                <w:sz w:val="18"/>
              </w:rPr>
              <w:t>Initial release</w:t>
            </w:r>
          </w:p>
        </w:tc>
        <w:tc>
          <w:tcPr>
            <w:tcW w:type="dxa" w:w="2160"/>
          </w:tcPr>
          <w:p>
            <w:r>
              <w:rPr>
                <w:rFonts w:ascii="Calibri" w:hAnsi="Calibri"/>
                <w:sz w:val="18"/>
              </w:rPr>
              <w:t>[AUTHOR]</w:t>
            </w:r>
          </w:p>
        </w:tc>
      </w:tr>
      <w:tr>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r>
    </w:tbl>
    <w:p>
      <w:pPr>
        <w:pStyle w:val="Heading2"/>
      </w:pPr>
      <w:r>
        <w:t>12. Approval Signatures</w:t>
      </w:r>
    </w:p>
    <w:tbl>
      <w:tblPr>
        <w:tblStyle w:val="TableGrid"/>
        <w:tblW w:type="auto" w:w="0"/>
        <w:tblLook w:firstColumn="1" w:firstRow="1" w:lastColumn="0" w:lastRow="0" w:noHBand="0" w:noVBand="1" w:val="04A0"/>
      </w:tblPr>
      <w:tblGrid>
        <w:gridCol w:w="2880"/>
        <w:gridCol w:w="2880"/>
        <w:gridCol w:w="2880"/>
      </w:tblGrid>
      <w:tr>
        <w:tc>
          <w:tcPr>
            <w:tcW w:type="dxa" w:w="2880"/>
            <w:shd w:fill="1A3A5C"/>
          </w:tcPr>
          <w:p>
            <w:r>
              <w:rPr>
                <w:rFonts w:ascii="Calibri" w:hAnsi="Calibri"/>
                <w:b/>
                <w:color w:val="FFFFFF"/>
                <w:sz w:val="18"/>
              </w:rPr>
              <w:t>Role</w:t>
            </w:r>
          </w:p>
        </w:tc>
        <w:tc>
          <w:tcPr>
            <w:tcW w:type="dxa" w:w="2880"/>
            <w:shd w:fill="1A3A5C"/>
          </w:tcPr>
          <w:p>
            <w:r>
              <w:rPr>
                <w:rFonts w:ascii="Calibri" w:hAnsi="Calibri"/>
                <w:b/>
                <w:color w:val="FFFFFF"/>
                <w:sz w:val="18"/>
              </w:rPr>
              <w:t>Signature / Name</w:t>
            </w:r>
          </w:p>
        </w:tc>
        <w:tc>
          <w:tcPr>
            <w:tcW w:type="dxa" w:w="2880"/>
            <w:shd w:fill="1A3A5C"/>
          </w:tcPr>
          <w:p>
            <w:r>
              <w:rPr>
                <w:rFonts w:ascii="Calibri" w:hAnsi="Calibri"/>
                <w:b/>
                <w:color w:val="FFFFFF"/>
                <w:sz w:val="18"/>
              </w:rPr>
              <w:t>Date</w:t>
            </w:r>
          </w:p>
        </w:tc>
      </w:tr>
      <w:tr>
        <w:tc>
          <w:tcPr>
            <w:tcW w:type="dxa" w:w="2880"/>
          </w:tcPr>
          <w:p>
            <w:r>
              <w:rPr>
                <w:sz w:val="18"/>
              </w:rPr>
              <w:t>Prepared By</w:t>
            </w:r>
          </w:p>
        </w:tc>
        <w:tc>
          <w:tcPr>
            <w:tcW w:type="dxa" w:w="2880"/>
          </w:tcPr>
          <w:p/>
        </w:tc>
        <w:tc>
          <w:tcPr>
            <w:tcW w:type="dxa" w:w="2880"/>
          </w:tcPr>
          <w:p/>
        </w:tc>
      </w:tr>
      <w:tr>
        <w:tc>
          <w:tcPr>
            <w:tcW w:type="dxa" w:w="2880"/>
          </w:tcPr>
          <w:p>
            <w:r>
              <w:rPr>
                <w:sz w:val="18"/>
              </w:rPr>
              <w:t>Reviewed By</w:t>
            </w:r>
          </w:p>
        </w:tc>
        <w:tc>
          <w:tcPr>
            <w:tcW w:type="dxa" w:w="2880"/>
          </w:tcPr>
          <w:p/>
        </w:tc>
        <w:tc>
          <w:tcPr>
            <w:tcW w:type="dxa" w:w="2880"/>
          </w:tcPr>
          <w:p/>
        </w:tc>
      </w:tr>
      <w:tr>
        <w:tc>
          <w:tcPr>
            <w:tcW w:type="dxa" w:w="2880"/>
          </w:tcPr>
          <w:p>
            <w:r>
              <w:rPr>
                <w:sz w:val="18"/>
              </w:rPr>
              <w:t>Approved By</w:t>
            </w:r>
          </w:p>
        </w:tc>
        <w:tc>
          <w:tcPr>
            <w:tcW w:type="dxa" w:w="2880"/>
          </w:tcPr>
          <w:p/>
        </w:tc>
        <w:tc>
          <w:tcPr>
            <w:tcW w:type="dxa" w:w="2880"/>
          </w:tcPr>
          <w:p/>
        </w:tc>
      </w:tr>
    </w:tbl>
    <w:p>
      <w:r>
        <w:br w:type="page"/>
      </w:r>
    </w:p>
    <w:p>
      <w:pPr>
        <w:pStyle w:val="Heading1"/>
      </w:pPr>
      <w:r>
        <w:t>SOP-HC-004: Medical Records Management</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3"/>
          </w:tcPr>
          <w:p>
            <w:r>
              <w:rPr>
                <w:rFonts w:ascii="Calibri" w:hAnsi="Calibri"/>
                <w:b/>
                <w:color w:val="1A3A5C"/>
                <w:sz w:val="18"/>
              </w:rPr>
              <w:t>Document Number:</w:t>
            </w:r>
          </w:p>
        </w:tc>
        <w:tc>
          <w:tcPr>
            <w:tcW w:type="dxa" w:w="2160"/>
          </w:tcPr>
          <w:p>
            <w:r>
              <w:rPr>
                <w:rFonts w:ascii="Calibri" w:hAnsi="Calibri"/>
                <w:sz w:val="18"/>
              </w:rPr>
              <w:t>SOP-HC-004</w:t>
            </w:r>
          </w:p>
        </w:tc>
        <w:tc>
          <w:tcPr>
            <w:tcW w:type="dxa" w:w="2160"/>
            <w:shd w:fill="E8EDF3"/>
          </w:tcPr>
          <w:p>
            <w:r>
              <w:rPr>
                <w:rFonts w:ascii="Calibri" w:hAnsi="Calibri"/>
                <w:b/>
                <w:color w:val="1A3A5C"/>
                <w:sz w:val="18"/>
              </w:rPr>
              <w:t>Effective Date:</w:t>
            </w:r>
          </w:p>
        </w:tc>
        <w:tc>
          <w:tcPr>
            <w:tcW w:type="dxa" w:w="2160"/>
          </w:tcPr>
          <w:p>
            <w:r>
              <w:rPr>
                <w:rFonts w:ascii="Calibri" w:hAnsi="Calibri"/>
                <w:sz w:val="18"/>
              </w:rPr>
              <w:t>[DATE]</w:t>
            </w:r>
          </w:p>
        </w:tc>
      </w:tr>
      <w:tr>
        <w:tc>
          <w:tcPr>
            <w:tcW w:type="dxa" w:w="2160"/>
            <w:shd w:fill="E8EDF3"/>
          </w:tcPr>
          <w:p>
            <w:r>
              <w:rPr>
                <w:rFonts w:ascii="Calibri" w:hAnsi="Calibri"/>
                <w:b/>
                <w:color w:val="1A3A5C"/>
                <w:sz w:val="18"/>
              </w:rPr>
              <w:t>Title:</w:t>
            </w:r>
          </w:p>
        </w:tc>
        <w:tc>
          <w:tcPr>
            <w:tcW w:type="dxa" w:w="2160"/>
          </w:tcPr>
          <w:p>
            <w:r>
              <w:rPr>
                <w:rFonts w:ascii="Calibri" w:hAnsi="Calibri"/>
                <w:sz w:val="18"/>
              </w:rPr>
              <w:t>Medical Records Management</w:t>
            </w:r>
          </w:p>
        </w:tc>
        <w:tc>
          <w:tcPr>
            <w:tcW w:type="dxa" w:w="2160"/>
            <w:shd w:fill="E8EDF3"/>
          </w:tcPr>
          <w:p>
            <w:r>
              <w:rPr>
                <w:rFonts w:ascii="Calibri" w:hAnsi="Calibri"/>
                <w:b/>
                <w:color w:val="1A3A5C"/>
                <w:sz w:val="18"/>
              </w:rPr>
              <w:t>Revision:</w:t>
            </w:r>
          </w:p>
        </w:tc>
        <w:tc>
          <w:tcPr>
            <w:tcW w:type="dxa" w:w="2160"/>
          </w:tcPr>
          <w:p>
            <w:r>
              <w:rPr>
                <w:rFonts w:ascii="Calibri" w:hAnsi="Calibri"/>
                <w:sz w:val="18"/>
              </w:rPr>
              <w:t>1.0</w:t>
            </w:r>
          </w:p>
        </w:tc>
      </w:tr>
      <w:tr>
        <w:tc>
          <w:tcPr>
            <w:tcW w:type="dxa" w:w="2160"/>
            <w:shd w:fill="E8EDF3"/>
          </w:tcPr>
          <w:p>
            <w:r>
              <w:rPr>
                <w:rFonts w:ascii="Calibri" w:hAnsi="Calibri"/>
                <w:b/>
                <w:color w:val="1A3A5C"/>
                <w:sz w:val="18"/>
              </w:rPr>
              <w:t>Department:</w:t>
            </w:r>
          </w:p>
        </w:tc>
        <w:tc>
          <w:tcPr>
            <w:tcW w:type="dxa" w:w="2160"/>
          </w:tcPr>
          <w:p>
            <w:r>
              <w:rPr>
                <w:rFonts w:ascii="Calibri" w:hAnsi="Calibri"/>
                <w:sz w:val="18"/>
              </w:rPr>
              <w:t>Health Information Management (HIM) / Medical Records</w:t>
            </w:r>
          </w:p>
        </w:tc>
        <w:tc>
          <w:tcPr>
            <w:tcW w:type="dxa" w:w="2160"/>
            <w:shd w:fill="E8EDF3"/>
          </w:tcPr>
          <w:p>
            <w:r>
              <w:rPr>
                <w:rFonts w:ascii="Calibri" w:hAnsi="Calibri"/>
                <w:b/>
                <w:color w:val="1A3A5C"/>
                <w:sz w:val="18"/>
              </w:rPr>
              <w:t>Page:</w:t>
            </w:r>
          </w:p>
        </w:tc>
        <w:tc>
          <w:tcPr>
            <w:tcW w:type="dxa" w:w="2160"/>
          </w:tcPr>
          <w:p>
            <w:r>
              <w:rPr>
                <w:rFonts w:ascii="Calibri" w:hAnsi="Calibri"/>
                <w:sz w:val="18"/>
              </w:rPr>
              <w:t>[X] of [Y]</w:t>
            </w:r>
          </w:p>
        </w:tc>
      </w:tr>
      <w:tr>
        <w:tc>
          <w:tcPr>
            <w:tcW w:type="dxa" w:w="2160"/>
            <w:shd w:fill="E8EDF3"/>
          </w:tcPr>
          <w:p>
            <w:r>
              <w:rPr>
                <w:rFonts w:ascii="Calibri" w:hAnsi="Calibri"/>
                <w:b/>
                <w:color w:val="1A3A5C"/>
                <w:sz w:val="18"/>
              </w:rPr>
              <w:t>Prepared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Reviewed By:</w:t>
            </w:r>
          </w:p>
        </w:tc>
        <w:tc>
          <w:tcPr>
            <w:tcW w:type="dxa" w:w="2160"/>
          </w:tcPr>
          <w:p>
            <w:r>
              <w:rPr>
                <w:rFonts w:ascii="Calibri" w:hAnsi="Calibri"/>
                <w:sz w:val="18"/>
              </w:rPr>
              <w:t>[NAME / TITLE]</w:t>
            </w:r>
          </w:p>
        </w:tc>
      </w:tr>
      <w:tr>
        <w:tc>
          <w:tcPr>
            <w:tcW w:type="dxa" w:w="2160"/>
            <w:shd w:fill="E8EDF3"/>
          </w:tcPr>
          <w:p>
            <w:r>
              <w:rPr>
                <w:rFonts w:ascii="Calibri" w:hAnsi="Calibri"/>
                <w:b/>
                <w:color w:val="1A3A5C"/>
                <w:sz w:val="18"/>
              </w:rPr>
              <w:t>Approved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Next Review:</w:t>
            </w:r>
          </w:p>
        </w:tc>
        <w:tc>
          <w:tcPr>
            <w:tcW w:type="dxa" w:w="2160"/>
          </w:tcPr>
          <w:p>
            <w:r>
              <w:rPr>
                <w:rFonts w:ascii="Calibri" w:hAnsi="Calibri"/>
                <w:sz w:val="18"/>
              </w:rPr>
              <w:t>[DATE + 1 YEAR]</w:t>
            </w:r>
          </w:p>
        </w:tc>
      </w:tr>
      <w:tr>
        <w:tc>
          <w:tcPr>
            <w:tcW w:type="dxa" w:w="2160"/>
            <w:shd w:fill="E8EDF3"/>
          </w:tcPr>
          <w:p>
            <w:r>
              <w:rPr>
                <w:rFonts w:ascii="Calibri" w:hAnsi="Calibri"/>
                <w:b/>
                <w:color w:val="1A3A5C"/>
                <w:sz w:val="18"/>
              </w:rPr>
              <w:t>Supersedes:</w:t>
            </w:r>
          </w:p>
        </w:tc>
        <w:tc>
          <w:tcPr>
            <w:tcW w:type="dxa" w:w="2160"/>
          </w:tcPr>
          <w:p>
            <w:r>
              <w:rPr>
                <w:rFonts w:ascii="Calibri" w:hAnsi="Calibri"/>
                <w:sz w:val="18"/>
              </w:rPr>
              <w:t>N/A — New Document</w:t>
            </w:r>
          </w:p>
        </w:tc>
        <w:tc>
          <w:tcPr>
            <w:tcW w:type="dxa" w:w="2160"/>
            <w:shd w:fill="E8EDF3"/>
          </w:tcPr>
          <w:p>
            <w:r>
              <w:rPr>
                <w:rFonts w:ascii="Calibri" w:hAnsi="Calibri"/>
                <w:b/>
                <w:color w:val="1A3A5C"/>
                <w:sz w:val="18"/>
              </w:rPr>
              <w:t>Classification:</w:t>
            </w:r>
          </w:p>
        </w:tc>
        <w:tc>
          <w:tcPr>
            <w:tcW w:type="dxa" w:w="2160"/>
          </w:tcPr>
          <w:p>
            <w:r>
              <w:rPr>
                <w:rFonts w:ascii="Calibri" w:hAnsi="Calibri"/>
                <w:sz w:val="18"/>
              </w:rPr>
              <w:t>Internal</w:t>
            </w:r>
          </w:p>
        </w:tc>
      </w:tr>
    </w:tbl>
    <w:p>
      <w:pPr>
        <w:pStyle w:val="Heading2"/>
      </w:pPr>
      <w:r>
        <w:t>2. Purpose</w:t>
      </w:r>
    </w:p>
    <w:p>
      <w:r>
        <w:rPr>
          <w:rFonts w:ascii="Calibri" w:hAnsi="Calibri"/>
          <w:sz w:val="20"/>
        </w:rPr>
        <w:t>To establish standardized procedures for the creation, maintenance, storage, access, amendment, release, retention, and destruction of patient medical records. This SOP ensures that all health records are accurate, complete, confidential, and managed in compliance with PHIPA (Ontario), HIPAA (U.S.), and applicable provincial/state/federal regulations.</w:t>
      </w:r>
    </w:p>
    <w:p>
      <w:pPr>
        <w:pStyle w:val="Heading2"/>
      </w:pPr>
      <w:r>
        <w:t>3. Scope</w:t>
      </w:r>
    </w:p>
    <w:p>
      <w:r>
        <w:rPr>
          <w:rFonts w:ascii="Calibri" w:hAnsi="Calibri"/>
          <w:sz w:val="20"/>
        </w:rPr>
        <w:t>This SOP applies to all staff who create, access, or manage patient medical records at [COMPANY NAME], including HIM technicians, clinical staff, physicians, administrative staff, and IT personnel with EMR access.</w:t>
      </w:r>
    </w:p>
    <w:p>
      <w:pPr>
        <w:pStyle w:val="Heading2"/>
      </w:pPr>
      <w:r>
        <w:t>4. Responsibilities</w:t>
      </w:r>
    </w:p>
    <w:p>
      <w:r>
        <w:rPr>
          <w:rFonts w:ascii="Calibri" w:hAnsi="Calibri"/>
          <w:b/>
          <w:sz w:val="20"/>
        </w:rPr>
        <w:t xml:space="preserve">HIM Manager / Supervisor: </w:t>
      </w:r>
      <w:r>
        <w:rPr>
          <w:rFonts w:ascii="Calibri" w:hAnsi="Calibri"/>
          <w:sz w:val="20"/>
        </w:rPr>
        <w:t>Oversee all medical records operations, ensure regulatory compliance, manage ROI processes, conduct audits, and serve as the custodian of health records.</w:t>
      </w:r>
    </w:p>
    <w:p>
      <w:r>
        <w:rPr>
          <w:rFonts w:ascii="Calibri" w:hAnsi="Calibri"/>
          <w:b/>
          <w:sz w:val="20"/>
        </w:rPr>
        <w:t xml:space="preserve">HIM Technician: </w:t>
      </w:r>
      <w:r>
        <w:rPr>
          <w:rFonts w:ascii="Calibri" w:hAnsi="Calibri"/>
          <w:sz w:val="20"/>
        </w:rPr>
        <w:t>Perform chart analysis, process release of information requests, maintain the MPI, manage record retention/destruction, and support coding and abstracting.</w:t>
      </w:r>
    </w:p>
    <w:p>
      <w:r>
        <w:rPr>
          <w:rFonts w:ascii="Calibri" w:hAnsi="Calibri"/>
          <w:b/>
          <w:sz w:val="20"/>
        </w:rPr>
        <w:t xml:space="preserve">Clinical Staff (Physicians, Nurses, Allied Health): </w:t>
      </w:r>
      <w:r>
        <w:rPr>
          <w:rFonts w:ascii="Calibri" w:hAnsi="Calibri"/>
          <w:sz w:val="20"/>
        </w:rPr>
        <w:t>Create timely, accurate, and complete documentation per professional and organizational standards. Authenticate all entries with signature, credentials, and date/time.</w:t>
      </w:r>
    </w:p>
    <w:p>
      <w:r>
        <w:rPr>
          <w:rFonts w:ascii="Calibri" w:hAnsi="Calibri"/>
          <w:b/>
          <w:sz w:val="20"/>
        </w:rPr>
        <w:t xml:space="preserve">Privacy Officer: </w:t>
      </w:r>
      <w:r>
        <w:rPr>
          <w:rFonts w:ascii="Calibri" w:hAnsi="Calibri"/>
          <w:sz w:val="20"/>
        </w:rPr>
        <w:t>Investigate privacy breaches, respond to patient complaints, ensure policies align with current legislation, and oversee access auditing.</w:t>
      </w:r>
    </w:p>
    <w:p>
      <w:r>
        <w:rPr>
          <w:rFonts w:ascii="Calibri" w:hAnsi="Calibri"/>
          <w:b/>
          <w:sz w:val="20"/>
        </w:rPr>
        <w:t xml:space="preserve">IT Department: </w:t>
      </w:r>
      <w:r>
        <w:rPr>
          <w:rFonts w:ascii="Calibri" w:hAnsi="Calibri"/>
          <w:sz w:val="20"/>
        </w:rPr>
        <w:t>Maintain EMR system security, access controls, audit logs, and backup/recovery systems.</w:t>
      </w:r>
    </w:p>
    <w:p>
      <w:pPr>
        <w:pStyle w:val="Heading2"/>
      </w:pPr>
      <w:r>
        <w:t>5. Equipment &amp; Materials Required</w:t>
      </w:r>
    </w:p>
    <w:p>
      <w:pPr>
        <w:pStyle w:val="ListBullet"/>
      </w:pPr>
      <w:r>
        <w:rPr>
          <w:rFonts w:ascii="Calibri" w:hAnsi="Calibri"/>
          <w:sz w:val="20"/>
        </w:rPr>
        <w:t>Electronic Medical Record (EMR) system with role-based access controls</w:t>
      </w:r>
    </w:p>
    <w:p>
      <w:pPr>
        <w:pStyle w:val="ListBullet"/>
      </w:pPr>
      <w:r>
        <w:rPr>
          <w:rFonts w:ascii="Calibri" w:hAnsi="Calibri"/>
          <w:sz w:val="20"/>
        </w:rPr>
        <w:t>Document scanning equipment (for paper-to-digital conversion)</w:t>
      </w:r>
    </w:p>
    <w:p>
      <w:pPr>
        <w:pStyle w:val="ListBullet"/>
      </w:pPr>
      <w:r>
        <w:rPr>
          <w:rFonts w:ascii="Calibri" w:hAnsi="Calibri"/>
          <w:sz w:val="20"/>
        </w:rPr>
        <w:t>Secure shredding equipment or contracted confidential destruction service</w:t>
      </w:r>
    </w:p>
    <w:p>
      <w:pPr>
        <w:pStyle w:val="ListBullet"/>
      </w:pPr>
      <w:r>
        <w:rPr>
          <w:rFonts w:ascii="Calibri" w:hAnsi="Calibri"/>
          <w:sz w:val="20"/>
        </w:rPr>
        <w:t>Locked storage for any remaining paper records</w:t>
      </w:r>
    </w:p>
    <w:p>
      <w:pPr>
        <w:pStyle w:val="ListBullet"/>
      </w:pPr>
      <w:r>
        <w:rPr>
          <w:rFonts w:ascii="Calibri" w:hAnsi="Calibri"/>
          <w:sz w:val="20"/>
        </w:rPr>
        <w:t>Release of Information (ROI) tracking log or software module</w:t>
      </w:r>
    </w:p>
    <w:p>
      <w:pPr>
        <w:pStyle w:val="ListBullet"/>
      </w:pPr>
      <w:r>
        <w:rPr>
          <w:rFonts w:ascii="Calibri" w:hAnsi="Calibri"/>
          <w:sz w:val="20"/>
        </w:rPr>
        <w:t>Consent and authorization forms (treatment, ROI, privacy acknowledgment)</w:t>
      </w:r>
    </w:p>
    <w:p>
      <w:pPr>
        <w:pStyle w:val="Heading2"/>
      </w:pPr>
      <w:r>
        <w:t>6. Safety Requirements</w:t>
      </w:r>
    </w:p>
    <w:p>
      <w:pPr>
        <w:pStyle w:val="ListBullet"/>
      </w:pPr>
      <w:r>
        <w:rPr>
          <w:rFonts w:ascii="Calibri" w:hAnsi="Calibri"/>
          <w:sz w:val="20"/>
        </w:rPr>
        <w:t>All patient health information is classified as Protected Health Information (PHI)</w:t>
      </w:r>
    </w:p>
    <w:p>
      <w:pPr>
        <w:pStyle w:val="ListBullet"/>
      </w:pPr>
      <w:r>
        <w:rPr>
          <w:rFonts w:ascii="Calibri" w:hAnsi="Calibri"/>
          <w:sz w:val="20"/>
        </w:rPr>
        <w:t>Access to medical records is limited to authorized personnel on a need-to-know basis within the circle of care</w:t>
      </w:r>
    </w:p>
    <w:p>
      <w:pPr>
        <w:pStyle w:val="ListBullet"/>
      </w:pPr>
      <w:r>
        <w:rPr>
          <w:rFonts w:ascii="Calibri" w:hAnsi="Calibri"/>
          <w:sz w:val="20"/>
        </w:rPr>
        <w:t>NEVER leave medical records (paper or digital) unattended in public or unsecured areas</w:t>
      </w:r>
    </w:p>
    <w:p>
      <w:pPr>
        <w:pStyle w:val="ListBullet"/>
      </w:pPr>
      <w:r>
        <w:rPr>
          <w:rFonts w:ascii="Calibri" w:hAnsi="Calibri"/>
          <w:sz w:val="20"/>
        </w:rPr>
        <w:t>NEVER share EMR login credentials with another person</w:t>
      </w:r>
    </w:p>
    <w:p>
      <w:pPr>
        <w:pStyle w:val="ListBullet"/>
      </w:pPr>
      <w:r>
        <w:rPr>
          <w:rFonts w:ascii="Calibri" w:hAnsi="Calibri"/>
          <w:sz w:val="20"/>
        </w:rPr>
        <w:t>All privacy breaches must be reported within 24 hours per PHIPA/HIPAA breach notification requirements</w:t>
      </w:r>
    </w:p>
    <w:p>
      <w:pPr>
        <w:pStyle w:val="Heading2"/>
      </w:pPr>
      <w:r>
        <w:t>7. Procedure</w:t>
      </w:r>
    </w:p>
    <w:p>
      <w:r>
        <w:rPr>
          <w:rFonts w:ascii="Calibri" w:hAnsi="Calibri"/>
          <w:b/>
          <w:color w:val="2C7BE5"/>
          <w:sz w:val="22"/>
        </w:rPr>
        <w:t>7.1 Record Creation &amp; Documentation Standards</w:t>
      </w:r>
    </w:p>
    <w:p>
      <w:r>
        <w:rPr>
          <w:rFonts w:ascii="Calibri" w:hAnsi="Calibri"/>
          <w:sz w:val="20"/>
        </w:rPr>
        <w:t>1. Every patient encounter must be documented in the EMR within 24 hours of the encounter (48 hours for dictated reports).</w:t>
      </w:r>
    </w:p>
    <w:p>
      <w:r>
        <w:rPr>
          <w:rFonts w:ascii="Calibri" w:hAnsi="Calibri"/>
          <w:sz w:val="20"/>
        </w:rPr>
        <w:t>2. Clinical documentation must follow the SOAP format (Subjective, Objective, Assessment, Plan) or facility-approved documentation standard.</w:t>
      </w:r>
    </w:p>
    <w:p>
      <w:r>
        <w:rPr>
          <w:rFonts w:ascii="Calibri" w:hAnsi="Calibri"/>
          <w:sz w:val="20"/>
        </w:rPr>
        <w:t>3. All entries must include: date and time of documentation, author's full name, professional credentials, and electronic or handwritten signature.</w:t>
      </w:r>
    </w:p>
    <w:p>
      <w:r>
        <w:rPr>
          <w:rFonts w:ascii="Calibri" w:hAnsi="Calibri"/>
          <w:sz w:val="20"/>
        </w:rPr>
        <w:t>4. Entries must be factual, objective, and clinically relevant. Avoid opinions, judgmental language, or abbreviations not on the facility-approved abbreviation list.</w:t>
      </w:r>
    </w:p>
    <w:p>
      <w:r>
        <w:rPr>
          <w:rFonts w:ascii="Calibri" w:hAnsi="Calibri"/>
          <w:sz w:val="20"/>
        </w:rPr>
        <w:t>5. Late entries must be clearly identified as 'Late Entry' with the current date/time and the date/time of the event being documented.</w:t>
      </w:r>
    </w:p>
    <w:p>
      <w:r>
        <w:rPr>
          <w:rFonts w:ascii="Calibri" w:hAnsi="Calibri"/>
          <w:sz w:val="20"/>
        </w:rPr>
        <w:t>6. NEVER delete, backdate, or alter existing documentation. Corrections must be made using the EMR amendment function.</w:t>
      </w:r>
    </w:p>
    <w:p>
      <w:r>
        <w:rPr>
          <w:rFonts w:ascii="Calibri" w:hAnsi="Calibri"/>
          <w:b/>
          <w:color w:val="2C7BE5"/>
          <w:sz w:val="22"/>
        </w:rPr>
        <w:t>7.2 EMR Data Entry &amp; Quality</w:t>
      </w:r>
    </w:p>
    <w:p>
      <w:r>
        <w:rPr>
          <w:rFonts w:ascii="Calibri" w:hAnsi="Calibri"/>
          <w:sz w:val="20"/>
        </w:rPr>
        <w:t>1. Enter patient data using standardized fields, drop-down menus, and structured templates where available to ensure consistency.</w:t>
      </w:r>
    </w:p>
    <w:p>
      <w:r>
        <w:rPr>
          <w:rFonts w:ascii="Calibri" w:hAnsi="Calibri"/>
          <w:sz w:val="20"/>
        </w:rPr>
        <w:t>2. Verify patient identity (name, DOB, MRN) before entering any data into the record.</w:t>
      </w:r>
    </w:p>
    <w:p>
      <w:r>
        <w:rPr>
          <w:rFonts w:ascii="Calibri" w:hAnsi="Calibri"/>
          <w:sz w:val="20"/>
        </w:rPr>
        <w:t>3. Document allergies, medication lists, problem lists, and immunization records in the designated EMR modules — not in free-text notes only.</w:t>
      </w:r>
    </w:p>
    <w:p>
      <w:r>
        <w:rPr>
          <w:rFonts w:ascii="Calibri" w:hAnsi="Calibri"/>
          <w:sz w:val="20"/>
        </w:rPr>
        <w:t>4. Run the Duplicate Patient Report weekly to identify and merge duplicate MRN entries in the Master Patient Index (MPI).</w:t>
      </w:r>
    </w:p>
    <w:p>
      <w:r>
        <w:rPr>
          <w:rFonts w:ascii="Calibri" w:hAnsi="Calibri"/>
          <w:sz w:val="20"/>
        </w:rPr>
        <w:t>5. Complete chart deficiency reports monthly. Notify providers of incomplete documentation with a 14-day deadline for completion.</w:t>
      </w:r>
    </w:p>
    <w:p>
      <w:r>
        <w:rPr>
          <w:rFonts w:ascii="Calibri" w:hAnsi="Calibri"/>
          <w:sz w:val="20"/>
        </w:rPr>
        <w:t>6. HIM Technicians conduct quantitative analysis (completeness) and qualitative analysis (accuracy) on 5% of records quarterly.</w:t>
      </w:r>
    </w:p>
    <w:p>
      <w:r>
        <w:rPr>
          <w:rFonts w:ascii="Calibri" w:hAnsi="Calibri"/>
          <w:b/>
          <w:color w:val="2C7BE5"/>
          <w:sz w:val="22"/>
        </w:rPr>
        <w:t>7.3 Record Amendment Procedure</w:t>
      </w:r>
    </w:p>
    <w:p>
      <w:r>
        <w:rPr>
          <w:rFonts w:ascii="Calibri" w:hAnsi="Calibri"/>
          <w:sz w:val="20"/>
        </w:rPr>
        <w:t>1. Patients have the right to request amendments to their medical records under PHIPA/HIPAA.</w:t>
      </w:r>
    </w:p>
    <w:p>
      <w:r>
        <w:rPr>
          <w:rFonts w:ascii="Calibri" w:hAnsi="Calibri"/>
          <w:sz w:val="20"/>
        </w:rPr>
        <w:t>2. Amendment requests must be submitted in writing using the Record Amendment Request Form.</w:t>
      </w:r>
    </w:p>
    <w:p>
      <w:r>
        <w:rPr>
          <w:rFonts w:ascii="Calibri" w:hAnsi="Calibri"/>
          <w:sz w:val="20"/>
        </w:rPr>
        <w:t>3. The HIM Manager reviews the request within 30 days (PHIPA) or 60 days (HIPAA) and consults the treating provider.</w:t>
      </w:r>
    </w:p>
    <w:p>
      <w:r>
        <w:rPr>
          <w:rFonts w:ascii="Calibri" w:hAnsi="Calibri"/>
          <w:sz w:val="20"/>
        </w:rPr>
        <w:t>4. If approved: The amendment is appended to the record with a notation indicating the original entry, the amendment, and the date/author of the change. The original entry is NOT deleted.</w:t>
      </w:r>
    </w:p>
    <w:p>
      <w:r>
        <w:rPr>
          <w:rFonts w:ascii="Calibri" w:hAnsi="Calibri"/>
          <w:sz w:val="20"/>
        </w:rPr>
        <w:t>5. If denied: Provide written reasons for denial. The patient may submit a Statement of Disagreement, which will be attached to the record.</w:t>
      </w:r>
    </w:p>
    <w:p>
      <w:r>
        <w:rPr>
          <w:rFonts w:ascii="Calibri" w:hAnsi="Calibri"/>
          <w:sz w:val="20"/>
        </w:rPr>
        <w:t>6. Notify all parties who previously received the original information of the amendment.</w:t>
      </w:r>
    </w:p>
    <w:p>
      <w:r>
        <w:rPr>
          <w:rFonts w:ascii="Calibri" w:hAnsi="Calibri"/>
          <w:b/>
          <w:color w:val="2C7BE5"/>
          <w:sz w:val="22"/>
        </w:rPr>
        <w:t>7.4 Release of Information (ROI)</w:t>
      </w:r>
    </w:p>
    <w:p>
      <w:r>
        <w:rPr>
          <w:rFonts w:ascii="Calibri" w:hAnsi="Calibri"/>
          <w:sz w:val="20"/>
        </w:rPr>
        <w:t>1. All requests for release of PHI must be received in writing using the facility Authorization for Release of Information form.</w:t>
      </w:r>
    </w:p>
    <w:p>
      <w:r>
        <w:rPr>
          <w:rFonts w:ascii="Calibri" w:hAnsi="Calibri"/>
          <w:sz w:val="20"/>
        </w:rPr>
        <w:t>2. Verify the authorization includes: patient name, DOB, specific information to be released, purpose, recipient, expiry date, and patient signature.</w:t>
      </w:r>
    </w:p>
    <w:p>
      <w:r>
        <w:rPr>
          <w:rFonts w:ascii="Calibri" w:hAnsi="Calibri"/>
          <w:sz w:val="20"/>
        </w:rPr>
        <w:t>3. Within the Circle of Care: Information may be shared with other treating providers without explicit patient consent for the purpose of providing care (PHIPA s.37(1)).</w:t>
      </w:r>
    </w:p>
    <w:p>
      <w:r>
        <w:rPr>
          <w:rFonts w:ascii="Calibri" w:hAnsi="Calibri"/>
          <w:sz w:val="20"/>
        </w:rPr>
        <w:t>4. Outside the Circle of Care: Requires written patient authorization OR a legal order (subpoena, court order, warrant).</w:t>
      </w:r>
    </w:p>
    <w:p>
      <w:r>
        <w:rPr>
          <w:rFonts w:ascii="Calibri" w:hAnsi="Calibri"/>
          <w:sz w:val="20"/>
        </w:rPr>
        <w:t>5. Legal requests (subpoenas, court orders): Forward to the Privacy Officer and/or legal counsel for review before releasing any information.</w:t>
      </w:r>
    </w:p>
    <w:p>
      <w:r>
        <w:rPr>
          <w:rFonts w:ascii="Calibri" w:hAnsi="Calibri"/>
          <w:sz w:val="20"/>
        </w:rPr>
        <w:t>6. Process ROI requests within 30 days. Log all releases in the ROI Tracking Log including: date, requestor, information released, authorization reference, and HIM staff who processed the release.</w:t>
      </w:r>
    </w:p>
    <w:p>
      <w:r>
        <w:rPr>
          <w:rFonts w:ascii="Calibri" w:hAnsi="Calibri"/>
          <w:sz w:val="20"/>
        </w:rPr>
        <w:t>7. Charge the legislated or facility-approved fee for copies (per page rate + shipping if applicable).</w:t>
      </w:r>
    </w:p>
    <w:p>
      <w:r>
        <w:rPr>
          <w:rFonts w:ascii="Calibri" w:hAnsi="Calibri"/>
          <w:b/>
          <w:color w:val="2C7BE5"/>
          <w:sz w:val="22"/>
        </w:rPr>
        <w:t>7.5 Retention &amp; Destruction</w:t>
      </w:r>
    </w:p>
    <w:p>
      <w:r>
        <w:rPr>
          <w:rFonts w:ascii="Calibri" w:hAnsi="Calibri"/>
          <w:sz w:val="20"/>
        </w:rPr>
        <w:t>1. Retain all patient medical records for the minimum period required by law:</w:t>
      </w:r>
    </w:p>
    <w:p>
      <w:r>
        <w:rPr>
          <w:rFonts w:ascii="Calibri" w:hAnsi="Calibri"/>
          <w:sz w:val="20"/>
        </w:rPr>
        <w:t xml:space="preserve">   • Ontario (PHIPA): 10 years from last entry (for adults); 10 years after patient's 18th birthday (for minors)</w:t>
      </w:r>
    </w:p>
    <w:p>
      <w:r>
        <w:rPr>
          <w:rFonts w:ascii="Calibri" w:hAnsi="Calibri"/>
          <w:sz w:val="20"/>
        </w:rPr>
        <w:t xml:space="preserve">   • U.S. (varies by state): Typically 7-10 years from last encounter; pediatric records until age of majority + state-specific period</w:t>
      </w:r>
    </w:p>
    <w:p>
      <w:r>
        <w:rPr>
          <w:rFonts w:ascii="Calibri" w:hAnsi="Calibri"/>
          <w:sz w:val="20"/>
        </w:rPr>
        <w:t xml:space="preserve">   • Additional requirements may apply for specific record types (e.g., surgical, mental health, reproductive health)</w:t>
      </w:r>
    </w:p>
    <w:p>
      <w:r>
        <w:rPr>
          <w:rFonts w:ascii="Calibri" w:hAnsi="Calibri"/>
          <w:sz w:val="20"/>
        </w:rPr>
        <w:t>2. Conduct annual retention reviews to identify records eligible for destruction.</w:t>
      </w:r>
    </w:p>
    <w:p>
      <w:r>
        <w:rPr>
          <w:rFonts w:ascii="Calibri" w:hAnsi="Calibri"/>
          <w:sz w:val="20"/>
        </w:rPr>
        <w:t>3. Before destruction, obtain written approval from the HIM Manager and Privacy Officer.</w:t>
      </w:r>
    </w:p>
    <w:p>
      <w:r>
        <w:rPr>
          <w:rFonts w:ascii="Calibri" w:hAnsi="Calibri"/>
          <w:sz w:val="20"/>
        </w:rPr>
        <w:t>4. Destroy records using approved methods: cross-cut shredding for paper; secure data wiping or physical destruction for electronic media. Use a certified destruction vendor with a Certificate of Destruction.</w:t>
      </w:r>
    </w:p>
    <w:p>
      <w:r>
        <w:rPr>
          <w:rFonts w:ascii="Calibri" w:hAnsi="Calibri"/>
          <w:sz w:val="20"/>
        </w:rPr>
        <w:t>5. Maintain a Record Destruction Log including: patient identifier (hashed or redacted), record type, date range of records, method of destruction, date of destruction, and witness signatures.</w:t>
      </w:r>
    </w:p>
    <w:p>
      <w:r>
        <w:rPr>
          <w:rFonts w:ascii="Calibri" w:hAnsi="Calibri"/>
          <w:sz w:val="20"/>
        </w:rPr>
        <w:t>6. NEVER destroy records that are subject to a legal hold, litigation, or regulatory investigation.</w:t>
      </w:r>
    </w:p>
    <w:p>
      <w:r>
        <w:rPr>
          <w:rFonts w:ascii="Calibri" w:hAnsi="Calibri"/>
          <w:b/>
          <w:color w:val="2C7BE5"/>
          <w:sz w:val="22"/>
        </w:rPr>
        <w:t>7.6 Privacy Breach Reporting</w:t>
      </w:r>
    </w:p>
    <w:p>
      <w:r>
        <w:rPr>
          <w:rFonts w:ascii="Calibri" w:hAnsi="Calibri"/>
          <w:sz w:val="20"/>
        </w:rPr>
        <w:t>1. A privacy breach is any unauthorized access, use, disclosure, or loss of PHI.</w:t>
      </w:r>
    </w:p>
    <w:p>
      <w:r>
        <w:rPr>
          <w:rFonts w:ascii="Calibri" w:hAnsi="Calibri"/>
          <w:sz w:val="20"/>
        </w:rPr>
        <w:t>2. ANY staff member who identifies or suspects a privacy breach must report it to the Privacy Officer within 24 hours.</w:t>
      </w:r>
    </w:p>
    <w:p>
      <w:r>
        <w:rPr>
          <w:rFonts w:ascii="Calibri" w:hAnsi="Calibri"/>
          <w:sz w:val="20"/>
        </w:rPr>
        <w:t>3. The Privacy Officer will: assess the severity and scope of the breach; contain the breach (revoke access, recover records); investigate the root cause; notify affected patients if the breach poses significant risk of harm.</w:t>
      </w:r>
    </w:p>
    <w:p>
      <w:r>
        <w:rPr>
          <w:rFonts w:ascii="Calibri" w:hAnsi="Calibri"/>
          <w:sz w:val="20"/>
        </w:rPr>
        <w:t>4. Mandatory reporting to the Information and Privacy Commissioner (IPC) of Ontario is required for breaches involving theft, loss, or unauthorized access (PHIPA s.12(2)).</w:t>
      </w:r>
    </w:p>
    <w:p>
      <w:r>
        <w:rPr>
          <w:rFonts w:ascii="Calibri" w:hAnsi="Calibri"/>
          <w:sz w:val="20"/>
        </w:rPr>
        <w:t>5. Document the breach investigation in the Privacy Breach Log including: date discovered, date occurred, description, individuals affected, containment actions, root cause, corrective actions, and notifications made.</w:t>
      </w:r>
    </w:p>
    <w:p>
      <w:r>
        <w:rPr>
          <w:rFonts w:ascii="Calibri" w:hAnsi="Calibri"/>
          <w:sz w:val="20"/>
        </w:rPr>
        <w:t>6. Implement corrective actions (e.g., retraining, access control changes, policy updates) within 30 days of breach resolution.</w:t>
      </w:r>
    </w:p>
    <w:p>
      <w:pPr>
        <w:pStyle w:val="Heading2"/>
      </w:pPr>
      <w:r>
        <w:t>8. Quality Checkpoints</w:t>
      </w:r>
    </w:p>
    <w:p>
      <w:pPr>
        <w:pStyle w:val="ListBullet"/>
      </w:pPr>
      <w:r>
        <w:rPr>
          <w:rFonts w:ascii="Calibri" w:hAnsi="Calibri"/>
          <w:sz w:val="20"/>
        </w:rPr>
        <w:t>Chart completion rate within 24 hours: target 95%</w:t>
      </w:r>
    </w:p>
    <w:p>
      <w:pPr>
        <w:pStyle w:val="ListBullet"/>
      </w:pPr>
      <w:r>
        <w:rPr>
          <w:rFonts w:ascii="Calibri" w:hAnsi="Calibri"/>
          <w:sz w:val="20"/>
        </w:rPr>
        <w:t>MPI duplicate rate: target &lt; 1%</w:t>
      </w:r>
    </w:p>
    <w:p>
      <w:pPr>
        <w:pStyle w:val="ListBullet"/>
      </w:pPr>
      <w:r>
        <w:rPr>
          <w:rFonts w:ascii="Calibri" w:hAnsi="Calibri"/>
          <w:sz w:val="20"/>
        </w:rPr>
        <w:t>ROI requests processed within 30 days: target 100%</w:t>
      </w:r>
    </w:p>
    <w:p>
      <w:pPr>
        <w:pStyle w:val="ListBullet"/>
      </w:pPr>
      <w:r>
        <w:rPr>
          <w:rFonts w:ascii="Calibri" w:hAnsi="Calibri"/>
          <w:sz w:val="20"/>
        </w:rPr>
        <w:t>Quarterly quantitative chart analysis: 5% sample, target 90% completeness</w:t>
      </w:r>
    </w:p>
    <w:p>
      <w:pPr>
        <w:pStyle w:val="ListBullet"/>
      </w:pPr>
      <w:r>
        <w:rPr>
          <w:rFonts w:ascii="Calibri" w:hAnsi="Calibri"/>
          <w:sz w:val="20"/>
        </w:rPr>
        <w:t>Annual retention review completed by [date]: target 100%</w:t>
      </w:r>
    </w:p>
    <w:p>
      <w:pPr>
        <w:pStyle w:val="ListBullet"/>
      </w:pPr>
      <w:r>
        <w:rPr>
          <w:rFonts w:ascii="Calibri" w:hAnsi="Calibri"/>
          <w:sz w:val="20"/>
        </w:rPr>
        <w:t>Privacy breach investigations initiated within 24 hours: target 100%</w:t>
      </w:r>
    </w:p>
    <w:p>
      <w:pPr>
        <w:pStyle w:val="Heading2"/>
      </w:pPr>
      <w:r>
        <w:t>9. Troubleshooting</w:t>
      </w:r>
    </w:p>
    <w:p>
      <w:r>
        <w:rPr>
          <w:rFonts w:ascii="Calibri" w:hAnsi="Calibri"/>
          <w:b/>
          <w:sz w:val="20"/>
        </w:rPr>
        <w:t>Issue: Provider fails to complete chart within 24 hours</w:t>
      </w:r>
    </w:p>
    <w:p>
      <w:r>
        <w:rPr>
          <w:rFonts w:ascii="Calibri" w:hAnsi="Calibri"/>
          <w:sz w:val="20"/>
        </w:rPr>
        <w:t>Resolution: Issue automated deficiency notification from EMR. Escalate to department chief after 14 days. Track on the monthly Chart Deficiency Report.</w:t>
      </w:r>
    </w:p>
    <w:p>
      <w:r>
        <w:rPr>
          <w:rFonts w:ascii="Calibri" w:hAnsi="Calibri"/>
          <w:b/>
          <w:sz w:val="20"/>
        </w:rPr>
        <w:t>Issue: Patient requests amendment to a diagnostic opinion</w:t>
      </w:r>
    </w:p>
    <w:p>
      <w:r>
        <w:rPr>
          <w:rFonts w:ascii="Calibri" w:hAnsi="Calibri"/>
          <w:sz w:val="20"/>
        </w:rPr>
        <w:t>Resolution: A clinician's professional opinion may not be amended. Explain this to the patient in writing. Offer the Statement of Disagreement option.</w:t>
      </w:r>
    </w:p>
    <w:p>
      <w:r>
        <w:rPr>
          <w:rFonts w:ascii="Calibri" w:hAnsi="Calibri"/>
          <w:b/>
          <w:sz w:val="20"/>
        </w:rPr>
        <w:t>Issue: ROI request missing required elements</w:t>
      </w:r>
    </w:p>
    <w:p>
      <w:r>
        <w:rPr>
          <w:rFonts w:ascii="Calibri" w:hAnsi="Calibri"/>
          <w:sz w:val="20"/>
        </w:rPr>
        <w:t>Resolution: Return the form to the requestor with a letter specifying the missing elements. Do NOT release any information until a complete authorization is received.</w:t>
      </w:r>
    </w:p>
    <w:p>
      <w:r>
        <w:rPr>
          <w:rFonts w:ascii="Calibri" w:hAnsi="Calibri"/>
          <w:b/>
          <w:sz w:val="20"/>
        </w:rPr>
        <w:t>Issue: Suspected unauthorized EMR access</w:t>
      </w:r>
    </w:p>
    <w:p>
      <w:r>
        <w:rPr>
          <w:rFonts w:ascii="Calibri" w:hAnsi="Calibri"/>
          <w:sz w:val="20"/>
        </w:rPr>
        <w:t>Resolution: Report to Privacy Officer immediately. IT pulls EMR audit logs for the affected record. If breach confirmed, follow Section 7.6.</w:t>
      </w:r>
    </w:p>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Revision</w:t>
            </w:r>
          </w:p>
        </w:tc>
        <w:tc>
          <w:tcPr>
            <w:tcW w:type="dxa" w:w="2160"/>
            <w:shd w:fill="1A3A5C"/>
          </w:tcPr>
          <w:p>
            <w:r>
              <w:rPr>
                <w:rFonts w:ascii="Calibri" w:hAnsi="Calibri"/>
                <w:b/>
                <w:color w:val="FFFFFF"/>
                <w:sz w:val="18"/>
              </w:rPr>
              <w:t>Date</w:t>
            </w:r>
          </w:p>
        </w:tc>
        <w:tc>
          <w:tcPr>
            <w:tcW w:type="dxa" w:w="2160"/>
            <w:shd w:fill="1A3A5C"/>
          </w:tcPr>
          <w:p>
            <w:r>
              <w:rPr>
                <w:rFonts w:ascii="Calibri" w:hAnsi="Calibri"/>
                <w:b/>
                <w:color w:val="FFFFFF"/>
                <w:sz w:val="18"/>
              </w:rPr>
              <w:t>Description</w:t>
            </w:r>
          </w:p>
        </w:tc>
        <w:tc>
          <w:tcPr>
            <w:tcW w:type="dxa" w:w="2160"/>
            <w:shd w:fill="1A3A5C"/>
          </w:tcPr>
          <w:p>
            <w:r>
              <w:rPr>
                <w:rFonts w:ascii="Calibri" w:hAnsi="Calibri"/>
                <w:b/>
                <w:color w:val="FFFFFF"/>
                <w:sz w:val="18"/>
              </w:rPr>
              <w:t>Author</w:t>
            </w:r>
          </w:p>
        </w:tc>
      </w:tr>
      <w:tr>
        <w:tc>
          <w:tcPr>
            <w:tcW w:type="dxa" w:w="2160"/>
          </w:tcPr>
          <w:p>
            <w:r>
              <w:rPr>
                <w:rFonts w:ascii="Calibri" w:hAnsi="Calibri"/>
                <w:sz w:val="18"/>
              </w:rPr>
              <w:t>1.0</w:t>
            </w:r>
          </w:p>
        </w:tc>
        <w:tc>
          <w:tcPr>
            <w:tcW w:type="dxa" w:w="2160"/>
          </w:tcPr>
          <w:p>
            <w:r>
              <w:rPr>
                <w:rFonts w:ascii="Calibri" w:hAnsi="Calibri"/>
                <w:sz w:val="18"/>
              </w:rPr>
              <w:t>[DATE]</w:t>
            </w:r>
          </w:p>
        </w:tc>
        <w:tc>
          <w:tcPr>
            <w:tcW w:type="dxa" w:w="2160"/>
          </w:tcPr>
          <w:p>
            <w:r>
              <w:rPr>
                <w:rFonts w:ascii="Calibri" w:hAnsi="Calibri"/>
                <w:sz w:val="18"/>
              </w:rPr>
              <w:t>Initial release</w:t>
            </w:r>
          </w:p>
        </w:tc>
        <w:tc>
          <w:tcPr>
            <w:tcW w:type="dxa" w:w="2160"/>
          </w:tcPr>
          <w:p>
            <w:r>
              <w:rPr>
                <w:rFonts w:ascii="Calibri" w:hAnsi="Calibri"/>
                <w:sz w:val="18"/>
              </w:rPr>
              <w:t>[AUTHOR]</w:t>
            </w:r>
          </w:p>
        </w:tc>
      </w:tr>
      <w:tr>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r>
    </w:tbl>
    <w:p>
      <w:pPr>
        <w:pStyle w:val="Heading2"/>
      </w:pPr>
      <w:r>
        <w:t>12. Approval Signatures</w:t>
      </w:r>
    </w:p>
    <w:tbl>
      <w:tblPr>
        <w:tblStyle w:val="TableGrid"/>
        <w:tblW w:type="auto" w:w="0"/>
        <w:tblLook w:firstColumn="1" w:firstRow="1" w:lastColumn="0" w:lastRow="0" w:noHBand="0" w:noVBand="1" w:val="04A0"/>
      </w:tblPr>
      <w:tblGrid>
        <w:gridCol w:w="2880"/>
        <w:gridCol w:w="2880"/>
        <w:gridCol w:w="2880"/>
      </w:tblGrid>
      <w:tr>
        <w:tc>
          <w:tcPr>
            <w:tcW w:type="dxa" w:w="2880"/>
            <w:shd w:fill="1A3A5C"/>
          </w:tcPr>
          <w:p>
            <w:r>
              <w:rPr>
                <w:rFonts w:ascii="Calibri" w:hAnsi="Calibri"/>
                <w:b/>
                <w:color w:val="FFFFFF"/>
                <w:sz w:val="18"/>
              </w:rPr>
              <w:t>Role</w:t>
            </w:r>
          </w:p>
        </w:tc>
        <w:tc>
          <w:tcPr>
            <w:tcW w:type="dxa" w:w="2880"/>
            <w:shd w:fill="1A3A5C"/>
          </w:tcPr>
          <w:p>
            <w:r>
              <w:rPr>
                <w:rFonts w:ascii="Calibri" w:hAnsi="Calibri"/>
                <w:b/>
                <w:color w:val="FFFFFF"/>
                <w:sz w:val="18"/>
              </w:rPr>
              <w:t>Signature / Name</w:t>
            </w:r>
          </w:p>
        </w:tc>
        <w:tc>
          <w:tcPr>
            <w:tcW w:type="dxa" w:w="2880"/>
            <w:shd w:fill="1A3A5C"/>
          </w:tcPr>
          <w:p>
            <w:r>
              <w:rPr>
                <w:rFonts w:ascii="Calibri" w:hAnsi="Calibri"/>
                <w:b/>
                <w:color w:val="FFFFFF"/>
                <w:sz w:val="18"/>
              </w:rPr>
              <w:t>Date</w:t>
            </w:r>
          </w:p>
        </w:tc>
      </w:tr>
      <w:tr>
        <w:tc>
          <w:tcPr>
            <w:tcW w:type="dxa" w:w="2880"/>
          </w:tcPr>
          <w:p>
            <w:r>
              <w:rPr>
                <w:sz w:val="18"/>
              </w:rPr>
              <w:t>Prepared By</w:t>
            </w:r>
          </w:p>
        </w:tc>
        <w:tc>
          <w:tcPr>
            <w:tcW w:type="dxa" w:w="2880"/>
          </w:tcPr>
          <w:p/>
        </w:tc>
        <w:tc>
          <w:tcPr>
            <w:tcW w:type="dxa" w:w="2880"/>
          </w:tcPr>
          <w:p/>
        </w:tc>
      </w:tr>
      <w:tr>
        <w:tc>
          <w:tcPr>
            <w:tcW w:type="dxa" w:w="2880"/>
          </w:tcPr>
          <w:p>
            <w:r>
              <w:rPr>
                <w:sz w:val="18"/>
              </w:rPr>
              <w:t>Reviewed By</w:t>
            </w:r>
          </w:p>
        </w:tc>
        <w:tc>
          <w:tcPr>
            <w:tcW w:type="dxa" w:w="2880"/>
          </w:tcPr>
          <w:p/>
        </w:tc>
        <w:tc>
          <w:tcPr>
            <w:tcW w:type="dxa" w:w="2880"/>
          </w:tcPr>
          <w:p/>
        </w:tc>
      </w:tr>
      <w:tr>
        <w:tc>
          <w:tcPr>
            <w:tcW w:type="dxa" w:w="2880"/>
          </w:tcPr>
          <w:p>
            <w:r>
              <w:rPr>
                <w:sz w:val="18"/>
              </w:rPr>
              <w:t>Approved By</w:t>
            </w:r>
          </w:p>
        </w:tc>
        <w:tc>
          <w:tcPr>
            <w:tcW w:type="dxa" w:w="2880"/>
          </w:tcPr>
          <w:p/>
        </w:tc>
        <w:tc>
          <w:tcPr>
            <w:tcW w:type="dxa" w:w="2880"/>
          </w:tcPr>
          <w:p/>
        </w:tc>
      </w:tr>
    </w:tbl>
    <w:p>
      <w:r>
        <w:br w:type="page"/>
      </w:r>
    </w:p>
    <w:p>
      <w:pPr>
        <w:pStyle w:val="Heading1"/>
      </w:pPr>
      <w:r>
        <w:t>SOP-HC-005: Emergency Response &amp; Code Procedures</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3"/>
          </w:tcPr>
          <w:p>
            <w:r>
              <w:rPr>
                <w:rFonts w:ascii="Calibri" w:hAnsi="Calibri"/>
                <w:b/>
                <w:color w:val="1A3A5C"/>
                <w:sz w:val="18"/>
              </w:rPr>
              <w:t>Document Number:</w:t>
            </w:r>
          </w:p>
        </w:tc>
        <w:tc>
          <w:tcPr>
            <w:tcW w:type="dxa" w:w="2160"/>
          </w:tcPr>
          <w:p>
            <w:r>
              <w:rPr>
                <w:rFonts w:ascii="Calibri" w:hAnsi="Calibri"/>
                <w:sz w:val="18"/>
              </w:rPr>
              <w:t>SOP-HC-005</w:t>
            </w:r>
          </w:p>
        </w:tc>
        <w:tc>
          <w:tcPr>
            <w:tcW w:type="dxa" w:w="2160"/>
            <w:shd w:fill="E8EDF3"/>
          </w:tcPr>
          <w:p>
            <w:r>
              <w:rPr>
                <w:rFonts w:ascii="Calibri" w:hAnsi="Calibri"/>
                <w:b/>
                <w:color w:val="1A3A5C"/>
                <w:sz w:val="18"/>
              </w:rPr>
              <w:t>Effective Date:</w:t>
            </w:r>
          </w:p>
        </w:tc>
        <w:tc>
          <w:tcPr>
            <w:tcW w:type="dxa" w:w="2160"/>
          </w:tcPr>
          <w:p>
            <w:r>
              <w:rPr>
                <w:rFonts w:ascii="Calibri" w:hAnsi="Calibri"/>
                <w:sz w:val="18"/>
              </w:rPr>
              <w:t>[DATE]</w:t>
            </w:r>
          </w:p>
        </w:tc>
      </w:tr>
      <w:tr>
        <w:tc>
          <w:tcPr>
            <w:tcW w:type="dxa" w:w="2160"/>
            <w:shd w:fill="E8EDF3"/>
          </w:tcPr>
          <w:p>
            <w:r>
              <w:rPr>
                <w:rFonts w:ascii="Calibri" w:hAnsi="Calibri"/>
                <w:b/>
                <w:color w:val="1A3A5C"/>
                <w:sz w:val="18"/>
              </w:rPr>
              <w:t>Title:</w:t>
            </w:r>
          </w:p>
        </w:tc>
        <w:tc>
          <w:tcPr>
            <w:tcW w:type="dxa" w:w="2160"/>
          </w:tcPr>
          <w:p>
            <w:r>
              <w:rPr>
                <w:rFonts w:ascii="Calibri" w:hAnsi="Calibri"/>
                <w:sz w:val="18"/>
              </w:rPr>
              <w:t>Emergency Response &amp; Code Procedures</w:t>
            </w:r>
          </w:p>
        </w:tc>
        <w:tc>
          <w:tcPr>
            <w:tcW w:type="dxa" w:w="2160"/>
            <w:shd w:fill="E8EDF3"/>
          </w:tcPr>
          <w:p>
            <w:r>
              <w:rPr>
                <w:rFonts w:ascii="Calibri" w:hAnsi="Calibri"/>
                <w:b/>
                <w:color w:val="1A3A5C"/>
                <w:sz w:val="18"/>
              </w:rPr>
              <w:t>Revision:</w:t>
            </w:r>
          </w:p>
        </w:tc>
        <w:tc>
          <w:tcPr>
            <w:tcW w:type="dxa" w:w="2160"/>
          </w:tcPr>
          <w:p>
            <w:r>
              <w:rPr>
                <w:rFonts w:ascii="Calibri" w:hAnsi="Calibri"/>
                <w:sz w:val="18"/>
              </w:rPr>
              <w:t>1.0</w:t>
            </w:r>
          </w:p>
        </w:tc>
      </w:tr>
      <w:tr>
        <w:tc>
          <w:tcPr>
            <w:tcW w:type="dxa" w:w="2160"/>
            <w:shd w:fill="E8EDF3"/>
          </w:tcPr>
          <w:p>
            <w:r>
              <w:rPr>
                <w:rFonts w:ascii="Calibri" w:hAnsi="Calibri"/>
                <w:b/>
                <w:color w:val="1A3A5C"/>
                <w:sz w:val="18"/>
              </w:rPr>
              <w:t>Department:</w:t>
            </w:r>
          </w:p>
        </w:tc>
        <w:tc>
          <w:tcPr>
            <w:tcW w:type="dxa" w:w="2160"/>
          </w:tcPr>
          <w:p>
            <w:r>
              <w:rPr>
                <w:rFonts w:ascii="Calibri" w:hAnsi="Calibri"/>
                <w:sz w:val="18"/>
              </w:rPr>
              <w:t>All Departments / Emergency Preparedness Committee</w:t>
            </w:r>
          </w:p>
        </w:tc>
        <w:tc>
          <w:tcPr>
            <w:tcW w:type="dxa" w:w="2160"/>
            <w:shd w:fill="E8EDF3"/>
          </w:tcPr>
          <w:p>
            <w:r>
              <w:rPr>
                <w:rFonts w:ascii="Calibri" w:hAnsi="Calibri"/>
                <w:b/>
                <w:color w:val="1A3A5C"/>
                <w:sz w:val="18"/>
              </w:rPr>
              <w:t>Page:</w:t>
            </w:r>
          </w:p>
        </w:tc>
        <w:tc>
          <w:tcPr>
            <w:tcW w:type="dxa" w:w="2160"/>
          </w:tcPr>
          <w:p>
            <w:r>
              <w:rPr>
                <w:rFonts w:ascii="Calibri" w:hAnsi="Calibri"/>
                <w:sz w:val="18"/>
              </w:rPr>
              <w:t>[X] of [Y]</w:t>
            </w:r>
          </w:p>
        </w:tc>
      </w:tr>
      <w:tr>
        <w:tc>
          <w:tcPr>
            <w:tcW w:type="dxa" w:w="2160"/>
            <w:shd w:fill="E8EDF3"/>
          </w:tcPr>
          <w:p>
            <w:r>
              <w:rPr>
                <w:rFonts w:ascii="Calibri" w:hAnsi="Calibri"/>
                <w:b/>
                <w:color w:val="1A3A5C"/>
                <w:sz w:val="18"/>
              </w:rPr>
              <w:t>Prepared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Reviewed By:</w:t>
            </w:r>
          </w:p>
        </w:tc>
        <w:tc>
          <w:tcPr>
            <w:tcW w:type="dxa" w:w="2160"/>
          </w:tcPr>
          <w:p>
            <w:r>
              <w:rPr>
                <w:rFonts w:ascii="Calibri" w:hAnsi="Calibri"/>
                <w:sz w:val="18"/>
              </w:rPr>
              <w:t>[NAME / TITLE]</w:t>
            </w:r>
          </w:p>
        </w:tc>
      </w:tr>
      <w:tr>
        <w:tc>
          <w:tcPr>
            <w:tcW w:type="dxa" w:w="2160"/>
            <w:shd w:fill="E8EDF3"/>
          </w:tcPr>
          <w:p>
            <w:r>
              <w:rPr>
                <w:rFonts w:ascii="Calibri" w:hAnsi="Calibri"/>
                <w:b/>
                <w:color w:val="1A3A5C"/>
                <w:sz w:val="18"/>
              </w:rPr>
              <w:t>Approved By:</w:t>
            </w:r>
          </w:p>
        </w:tc>
        <w:tc>
          <w:tcPr>
            <w:tcW w:type="dxa" w:w="2160"/>
          </w:tcPr>
          <w:p>
            <w:r>
              <w:rPr>
                <w:rFonts w:ascii="Calibri" w:hAnsi="Calibri"/>
                <w:sz w:val="18"/>
              </w:rPr>
              <w:t>[NAME / TITLE]</w:t>
            </w:r>
          </w:p>
        </w:tc>
        <w:tc>
          <w:tcPr>
            <w:tcW w:type="dxa" w:w="2160"/>
            <w:shd w:fill="E8EDF3"/>
          </w:tcPr>
          <w:p>
            <w:r>
              <w:rPr>
                <w:rFonts w:ascii="Calibri" w:hAnsi="Calibri"/>
                <w:b/>
                <w:color w:val="1A3A5C"/>
                <w:sz w:val="18"/>
              </w:rPr>
              <w:t>Next Review:</w:t>
            </w:r>
          </w:p>
        </w:tc>
        <w:tc>
          <w:tcPr>
            <w:tcW w:type="dxa" w:w="2160"/>
          </w:tcPr>
          <w:p>
            <w:r>
              <w:rPr>
                <w:rFonts w:ascii="Calibri" w:hAnsi="Calibri"/>
                <w:sz w:val="18"/>
              </w:rPr>
              <w:t>[DATE + 1 YEAR]</w:t>
            </w:r>
          </w:p>
        </w:tc>
      </w:tr>
      <w:tr>
        <w:tc>
          <w:tcPr>
            <w:tcW w:type="dxa" w:w="2160"/>
            <w:shd w:fill="E8EDF3"/>
          </w:tcPr>
          <w:p>
            <w:r>
              <w:rPr>
                <w:rFonts w:ascii="Calibri" w:hAnsi="Calibri"/>
                <w:b/>
                <w:color w:val="1A3A5C"/>
                <w:sz w:val="18"/>
              </w:rPr>
              <w:t>Supersedes:</w:t>
            </w:r>
          </w:p>
        </w:tc>
        <w:tc>
          <w:tcPr>
            <w:tcW w:type="dxa" w:w="2160"/>
          </w:tcPr>
          <w:p>
            <w:r>
              <w:rPr>
                <w:rFonts w:ascii="Calibri" w:hAnsi="Calibri"/>
                <w:sz w:val="18"/>
              </w:rPr>
              <w:t>N/A — New Document</w:t>
            </w:r>
          </w:p>
        </w:tc>
        <w:tc>
          <w:tcPr>
            <w:tcW w:type="dxa" w:w="2160"/>
            <w:shd w:fill="E8EDF3"/>
          </w:tcPr>
          <w:p>
            <w:r>
              <w:rPr>
                <w:rFonts w:ascii="Calibri" w:hAnsi="Calibri"/>
                <w:b/>
                <w:color w:val="1A3A5C"/>
                <w:sz w:val="18"/>
              </w:rPr>
              <w:t>Classification:</w:t>
            </w:r>
          </w:p>
        </w:tc>
        <w:tc>
          <w:tcPr>
            <w:tcW w:type="dxa" w:w="2160"/>
          </w:tcPr>
          <w:p>
            <w:r>
              <w:rPr>
                <w:rFonts w:ascii="Calibri" w:hAnsi="Calibri"/>
                <w:sz w:val="18"/>
              </w:rPr>
              <w:t>Internal</w:t>
            </w:r>
          </w:p>
        </w:tc>
      </w:tr>
    </w:tbl>
    <w:p>
      <w:pPr>
        <w:pStyle w:val="Heading2"/>
      </w:pPr>
      <w:r>
        <w:t>2. Purpose</w:t>
      </w:r>
    </w:p>
    <w:p>
      <w:r>
        <w:rPr>
          <w:rFonts w:ascii="Calibri" w:hAnsi="Calibri"/>
          <w:sz w:val="20"/>
        </w:rPr>
        <w:t>To establish standardized emergency response procedures for all recognized emergency codes at [COMPANY NAME]. This SOP ensures that all staff know how to recognize, activate, respond to, and debrief from emergency situations including cardiac arrest, violent behavior, fire, mass casualty events, missing patients, hazardous material incidents, system failures, and infant abduction.</w:t>
      </w:r>
    </w:p>
    <w:p>
      <w:pPr>
        <w:pStyle w:val="Heading2"/>
      </w:pPr>
      <w:r>
        <w:t>3. Scope</w:t>
      </w:r>
    </w:p>
    <w:p>
      <w:r>
        <w:rPr>
          <w:rFonts w:ascii="Calibri" w:hAnsi="Calibri"/>
          <w:sz w:val="20"/>
        </w:rPr>
        <w:t>This SOP applies to ALL personnel at [COMPANY NAME] including clinical staff, administrative staff, support staff, volunteers, students, and contractors. All staff are expected to know the code definitions, their role in each code, and the location of emergency equipment on their unit/floor.</w:t>
      </w:r>
    </w:p>
    <w:p>
      <w:pPr>
        <w:pStyle w:val="Heading2"/>
      </w:pPr>
      <w:r>
        <w:t>4. Responsibilities</w:t>
      </w:r>
    </w:p>
    <w:p>
      <w:r>
        <w:rPr>
          <w:rFonts w:ascii="Calibri" w:hAnsi="Calibri"/>
          <w:b/>
          <w:sz w:val="20"/>
        </w:rPr>
        <w:t xml:space="preserve">All Staff: </w:t>
      </w:r>
      <w:r>
        <w:rPr>
          <w:rFonts w:ascii="Calibri" w:hAnsi="Calibri"/>
          <w:sz w:val="20"/>
        </w:rPr>
        <w:t>Know all emergency codes, respond to codes in their area, participate in drills, complete annual emergency response training.</w:t>
      </w:r>
    </w:p>
    <w:p>
      <w:r>
        <w:rPr>
          <w:rFonts w:ascii="Calibri" w:hAnsi="Calibri"/>
          <w:b/>
          <w:sz w:val="20"/>
        </w:rPr>
        <w:t xml:space="preserve">Charge Nurse / Unit Manager: </w:t>
      </w:r>
      <w:r>
        <w:rPr>
          <w:rFonts w:ascii="Calibri" w:hAnsi="Calibri"/>
          <w:sz w:val="20"/>
        </w:rPr>
        <w:t>Activate codes, coordinate unit-level response, assign roles, manage communication, and lead post-event debriefing.</w:t>
      </w:r>
    </w:p>
    <w:p>
      <w:r>
        <w:rPr>
          <w:rFonts w:ascii="Calibri" w:hAnsi="Calibri"/>
          <w:b/>
          <w:sz w:val="20"/>
        </w:rPr>
        <w:t xml:space="preserve">Code Team / Rapid Response Team: </w:t>
      </w:r>
      <w:r>
        <w:rPr>
          <w:rFonts w:ascii="Calibri" w:hAnsi="Calibri"/>
          <w:sz w:val="20"/>
        </w:rPr>
        <w:t>Respond to Code Blue and medical emergencies. Includes physician, RN, respiratory therapist, and pharmacist.</w:t>
      </w:r>
    </w:p>
    <w:p>
      <w:r>
        <w:rPr>
          <w:rFonts w:ascii="Calibri" w:hAnsi="Calibri"/>
          <w:b/>
          <w:sz w:val="20"/>
        </w:rPr>
        <w:t xml:space="preserve">Security: </w:t>
      </w:r>
      <w:r>
        <w:rPr>
          <w:rFonts w:ascii="Calibri" w:hAnsi="Calibri"/>
          <w:sz w:val="20"/>
        </w:rPr>
        <w:t>Respond to Code White (violent person), Code Yellow (missing patient), Code Pink (infant abduction), and support all other codes.</w:t>
      </w:r>
    </w:p>
    <w:p>
      <w:r>
        <w:rPr>
          <w:rFonts w:ascii="Calibri" w:hAnsi="Calibri"/>
          <w:b/>
          <w:sz w:val="20"/>
        </w:rPr>
        <w:t xml:space="preserve">Facilities / Maintenance: </w:t>
      </w:r>
      <w:r>
        <w:rPr>
          <w:rFonts w:ascii="Calibri" w:hAnsi="Calibri"/>
          <w:sz w:val="20"/>
        </w:rPr>
        <w:t>Respond to Code Red (fire), Code Brown (hazmat), Code Grey (system failure), and manage building systems during emergencies.</w:t>
      </w:r>
    </w:p>
    <w:p>
      <w:r>
        <w:rPr>
          <w:rFonts w:ascii="Calibri" w:hAnsi="Calibri"/>
          <w:b/>
          <w:sz w:val="20"/>
        </w:rPr>
        <w:t xml:space="preserve">Emergency Preparedness Coordinator: </w:t>
      </w:r>
      <w:r>
        <w:rPr>
          <w:rFonts w:ascii="Calibri" w:hAnsi="Calibri"/>
          <w:sz w:val="20"/>
        </w:rPr>
        <w:t>Maintain code policies, coordinate drills, debrief outcomes, and update procedures based on lessons learned.</w:t>
      </w:r>
    </w:p>
    <w:p>
      <w:pPr>
        <w:pStyle w:val="Heading2"/>
      </w:pPr>
      <w:r>
        <w:t>5. Equipment &amp; Materials Required</w:t>
      </w:r>
    </w:p>
    <w:p>
      <w:pPr>
        <w:pStyle w:val="ListBullet"/>
      </w:pPr>
      <w:r>
        <w:rPr>
          <w:rFonts w:ascii="Calibri" w:hAnsi="Calibri"/>
          <w:sz w:val="20"/>
        </w:rPr>
        <w:t>Crash cart with defibrillator/AED (location: [LIST UNIT-SPECIFIC LOCATIONS])</w:t>
      </w:r>
    </w:p>
    <w:p>
      <w:pPr>
        <w:pStyle w:val="ListBullet"/>
      </w:pPr>
      <w:r>
        <w:rPr>
          <w:rFonts w:ascii="Calibri" w:hAnsi="Calibri"/>
          <w:sz w:val="20"/>
        </w:rPr>
        <w:t>Fire extinguishers (location: per floor plan posted at each nursing station)</w:t>
      </w:r>
    </w:p>
    <w:p>
      <w:pPr>
        <w:pStyle w:val="ListBullet"/>
      </w:pPr>
      <w:r>
        <w:rPr>
          <w:rFonts w:ascii="Calibri" w:hAnsi="Calibri"/>
          <w:sz w:val="20"/>
        </w:rPr>
        <w:t>Fire alarm pull stations (location: at all exits and stairwells)</w:t>
      </w:r>
    </w:p>
    <w:p>
      <w:pPr>
        <w:pStyle w:val="ListBullet"/>
      </w:pPr>
      <w:r>
        <w:rPr>
          <w:rFonts w:ascii="Calibri" w:hAnsi="Calibri"/>
          <w:sz w:val="20"/>
        </w:rPr>
        <w:t>Emergency medication kit (epinephrine, naloxone, glucose)</w:t>
      </w:r>
    </w:p>
    <w:p>
      <w:pPr>
        <w:pStyle w:val="ListBullet"/>
      </w:pPr>
      <w:r>
        <w:rPr>
          <w:rFonts w:ascii="Calibri" w:hAnsi="Calibri"/>
          <w:sz w:val="20"/>
        </w:rPr>
        <w:t>Overhead paging system and/or emergency notification system (e.g., mass notification app)</w:t>
      </w:r>
    </w:p>
    <w:p>
      <w:pPr>
        <w:pStyle w:val="ListBullet"/>
      </w:pPr>
      <w:r>
        <w:rPr>
          <w:rFonts w:ascii="Calibri" w:hAnsi="Calibri"/>
          <w:sz w:val="20"/>
        </w:rPr>
        <w:t>Hazardous material spill kits (location: [LIST LOCATIONS])</w:t>
      </w:r>
    </w:p>
    <w:p>
      <w:pPr>
        <w:pStyle w:val="ListBullet"/>
      </w:pPr>
      <w:r>
        <w:rPr>
          <w:rFonts w:ascii="Calibri" w:hAnsi="Calibri"/>
          <w:sz w:val="20"/>
        </w:rPr>
        <w:t>Emergency power generator and flashlights</w:t>
      </w:r>
    </w:p>
    <w:p>
      <w:pPr>
        <w:pStyle w:val="ListBullet"/>
      </w:pPr>
      <w:r>
        <w:rPr>
          <w:rFonts w:ascii="Calibri" w:hAnsi="Calibri"/>
          <w:sz w:val="20"/>
        </w:rPr>
        <w:t>Missing patient/infant abduction response kit (photos, description forms, door alarm system)</w:t>
      </w:r>
    </w:p>
    <w:p>
      <w:pPr>
        <w:pStyle w:val="ListBullet"/>
      </w:pPr>
      <w:r>
        <w:rPr>
          <w:rFonts w:ascii="Calibri" w:hAnsi="Calibri"/>
          <w:sz w:val="20"/>
        </w:rPr>
        <w:t>Emergency operations binder (hard copy at each nursing station)</w:t>
      </w:r>
    </w:p>
    <w:p>
      <w:pPr>
        <w:pStyle w:val="Heading2"/>
      </w:pPr>
      <w:r>
        <w:t>6. Safety Requirements</w:t>
      </w:r>
    </w:p>
    <w:p>
      <w:pPr>
        <w:pStyle w:val="ListBullet"/>
      </w:pPr>
      <w:r>
        <w:rPr>
          <w:rFonts w:ascii="Calibri" w:hAnsi="Calibri"/>
          <w:sz w:val="20"/>
        </w:rPr>
        <w:t>Personal safety comes FIRST in all emergency situations — do not put yourself at risk</w:t>
      </w:r>
    </w:p>
    <w:p>
      <w:pPr>
        <w:pStyle w:val="ListBullet"/>
      </w:pPr>
      <w:r>
        <w:rPr>
          <w:rFonts w:ascii="Calibri" w:hAnsi="Calibri"/>
          <w:sz w:val="20"/>
        </w:rPr>
        <w:t>NEVER attempt to physically restrain a violent individual unless trained and part of the Code White response team</w:t>
      </w:r>
    </w:p>
    <w:p>
      <w:pPr>
        <w:pStyle w:val="ListBullet"/>
      </w:pPr>
      <w:r>
        <w:rPr>
          <w:rFonts w:ascii="Calibri" w:hAnsi="Calibri"/>
          <w:sz w:val="20"/>
        </w:rPr>
        <w:t>During a fire, NEVER use elevators</w:t>
      </w:r>
    </w:p>
    <w:p>
      <w:pPr>
        <w:pStyle w:val="ListBullet"/>
      </w:pPr>
      <w:r>
        <w:rPr>
          <w:rFonts w:ascii="Calibri" w:hAnsi="Calibri"/>
          <w:sz w:val="20"/>
        </w:rPr>
        <w:t>Know your two nearest exits at all times</w:t>
      </w:r>
    </w:p>
    <w:p>
      <w:pPr>
        <w:pStyle w:val="ListBullet"/>
      </w:pPr>
      <w:r>
        <w:rPr>
          <w:rFonts w:ascii="Calibri" w:hAnsi="Calibri"/>
          <w:sz w:val="20"/>
        </w:rPr>
        <w:t>Report all code activations and near-misses to the Emergency Preparedness Coordinator</w:t>
      </w:r>
    </w:p>
    <w:p>
      <w:pPr>
        <w:pStyle w:val="Heading2"/>
      </w:pPr>
      <w:r>
        <w:t>7. Procedure</w:t>
      </w:r>
    </w:p>
    <w:p>
      <w:r>
        <w:rPr>
          <w:rFonts w:ascii="Calibri" w:hAnsi="Calibri"/>
          <w:b/>
          <w:color w:val="2C7BE5"/>
          <w:sz w:val="22"/>
        </w:rPr>
        <w:t>7.1 Code Blue — Cardiac / Respiratory Arrest</w:t>
      </w:r>
    </w:p>
    <w:p>
      <w:r>
        <w:rPr>
          <w:rFonts w:ascii="Calibri" w:hAnsi="Calibri"/>
          <w:sz w:val="20"/>
        </w:rPr>
        <w:t>Recognition: Patient is unresponsive, not breathing or only gasping, no pulse detected.</w:t>
      </w:r>
    </w:p>
    <w:p>
      <w:r>
        <w:rPr>
          <w:rFonts w:ascii="Calibri" w:hAnsi="Calibri"/>
          <w:sz w:val="20"/>
        </w:rPr>
        <w:t>1. Call for help. Instruct someone to activate Code Blue via overhead page and call the Code Team.</w:t>
      </w:r>
    </w:p>
    <w:p>
      <w:r>
        <w:rPr>
          <w:rFonts w:ascii="Calibri" w:hAnsi="Calibri"/>
          <w:sz w:val="20"/>
        </w:rPr>
        <w:t>2. Begin CPR immediately: 30 compressions to 2 breaths (rate: 100-120/min, depth: 5-6 cm).</w:t>
      </w:r>
    </w:p>
    <w:p>
      <w:r>
        <w:rPr>
          <w:rFonts w:ascii="Calibri" w:hAnsi="Calibri"/>
          <w:sz w:val="20"/>
        </w:rPr>
        <w:t>3. Send someone to retrieve the crash cart and AED/defibrillator.</w:t>
      </w:r>
    </w:p>
    <w:p>
      <w:r>
        <w:rPr>
          <w:rFonts w:ascii="Calibri" w:hAnsi="Calibri"/>
          <w:sz w:val="20"/>
        </w:rPr>
        <w:t>4. Apply AED as soon as available. Follow prompts. Clear the patient before delivering shock.</w:t>
      </w:r>
    </w:p>
    <w:p>
      <w:r>
        <w:rPr>
          <w:rFonts w:ascii="Calibri" w:hAnsi="Calibri"/>
          <w:sz w:val="20"/>
        </w:rPr>
        <w:t>5. When the Code Team arrives, transfer care using SBAR handoff: Situation (found unresponsive), Background (medical history, current meds), Assessment (vitals, rhythm), Recommendation (what has been done).</w:t>
      </w:r>
    </w:p>
    <w:p>
      <w:r>
        <w:rPr>
          <w:rFonts w:ascii="Calibri" w:hAnsi="Calibri"/>
          <w:sz w:val="20"/>
        </w:rPr>
        <w:t>6. Code Team assumes care: advanced airway, IV access, ACLS medications, rhythm analysis.</w:t>
      </w:r>
    </w:p>
    <w:p>
      <w:r>
        <w:rPr>
          <w:rFonts w:ascii="Calibri" w:hAnsi="Calibri"/>
          <w:sz w:val="20"/>
        </w:rPr>
        <w:t>7. Documenter role: Record all interventions, medications, times, and rhythm changes on the Code Blue Record.</w:t>
      </w:r>
    </w:p>
    <w:p>
      <w:r>
        <w:rPr>
          <w:rFonts w:ascii="Calibri" w:hAnsi="Calibri"/>
          <w:sz w:val="20"/>
        </w:rPr>
        <w:t>8. After the event: Secure the area. Notify the patient's family and attending physician. Complete Incident Report. Participate in Code Blue debriefing within 24 hours.</w:t>
      </w:r>
    </w:p>
    <w:p>
      <w:r>
        <w:rPr>
          <w:rFonts w:ascii="Calibri" w:hAnsi="Calibri"/>
          <w:b/>
          <w:color w:val="2C7BE5"/>
          <w:sz w:val="22"/>
        </w:rPr>
        <w:t>7.2 Code White — Violent / Aggressive Person</w:t>
      </w:r>
    </w:p>
    <w:p>
      <w:r>
        <w:rPr>
          <w:rFonts w:ascii="Calibri" w:hAnsi="Calibri"/>
          <w:sz w:val="20"/>
        </w:rPr>
        <w:t>Recognition: A person (patient, visitor, or intruder) is displaying violent, threatening, or aggressive behavior that poses a risk to safety.</w:t>
      </w:r>
    </w:p>
    <w:p>
      <w:r>
        <w:rPr>
          <w:rFonts w:ascii="Calibri" w:hAnsi="Calibri"/>
          <w:sz w:val="20"/>
        </w:rPr>
        <w:t>1. Ensure your own safety first. Do NOT block the exit. Maintain a safe distance (minimum 2 arm lengths).</w:t>
      </w:r>
    </w:p>
    <w:p>
      <w:r>
        <w:rPr>
          <w:rFonts w:ascii="Calibri" w:hAnsi="Calibri"/>
          <w:sz w:val="20"/>
        </w:rPr>
        <w:t>2. Activate Code White via overhead page. State location clearly.</w:t>
      </w:r>
    </w:p>
    <w:p>
      <w:r>
        <w:rPr>
          <w:rFonts w:ascii="Calibri" w:hAnsi="Calibri"/>
          <w:sz w:val="20"/>
        </w:rPr>
        <w:t>3. Attempt verbal de-escalation (if safe to do so): use calm, low tone; acknowledge the person's feelings; do not argue, threaten, or challenge; offer choices; remove audience if possible.</w:t>
      </w:r>
    </w:p>
    <w:p>
      <w:r>
        <w:rPr>
          <w:rFonts w:ascii="Calibri" w:hAnsi="Calibri"/>
          <w:sz w:val="20"/>
        </w:rPr>
        <w:t>4. Remove other patients, visitors, and staff from the area if safe to do so.</w:t>
      </w:r>
    </w:p>
    <w:p>
      <w:r>
        <w:rPr>
          <w:rFonts w:ascii="Calibri" w:hAnsi="Calibri"/>
          <w:sz w:val="20"/>
        </w:rPr>
        <w:t>5. Code White team (Security, trained clinical staff) responds and assumes management.</w:t>
      </w:r>
    </w:p>
    <w:p>
      <w:r>
        <w:rPr>
          <w:rFonts w:ascii="Calibri" w:hAnsi="Calibri"/>
          <w:sz w:val="20"/>
        </w:rPr>
        <w:t>6. Physical intervention is LAST RESORT only, performed by trained personnel using approved techniques.</w:t>
      </w:r>
    </w:p>
    <w:p>
      <w:r>
        <w:rPr>
          <w:rFonts w:ascii="Calibri" w:hAnsi="Calibri"/>
          <w:sz w:val="20"/>
        </w:rPr>
        <w:t>7. If a weapon is involved, evacuate the area immediately. Lock doors. Call 911.</w:t>
      </w:r>
    </w:p>
    <w:p>
      <w:r>
        <w:rPr>
          <w:rFonts w:ascii="Calibri" w:hAnsi="Calibri"/>
          <w:sz w:val="20"/>
        </w:rPr>
        <w:t>8. After the event: Conduct welfare check on all involved. Offer Employee Assistance Program (EAP). Complete Incident Report. Debrief within 24 hours.</w:t>
      </w:r>
    </w:p>
    <w:p>
      <w:r>
        <w:rPr>
          <w:rFonts w:ascii="Calibri" w:hAnsi="Calibri"/>
          <w:b/>
          <w:color w:val="2C7BE5"/>
          <w:sz w:val="22"/>
        </w:rPr>
        <w:t>7.3 Code Red — Fire</w:t>
      </w:r>
    </w:p>
    <w:p>
      <w:r>
        <w:rPr>
          <w:rFonts w:ascii="Calibri" w:hAnsi="Calibri"/>
          <w:sz w:val="20"/>
        </w:rPr>
        <w:t>Recognition: Smoke, flame, or fire alarm activation.</w:t>
      </w:r>
    </w:p>
    <w:p>
      <w:r>
        <w:rPr>
          <w:rFonts w:ascii="Calibri" w:hAnsi="Calibri"/>
          <w:sz w:val="20"/>
        </w:rPr>
        <w:t>1. R — RESCUE: Remove anyone in immediate danger from the fire area.</w:t>
      </w:r>
    </w:p>
    <w:p>
      <w:r>
        <w:rPr>
          <w:rFonts w:ascii="Calibri" w:hAnsi="Calibri"/>
          <w:sz w:val="20"/>
        </w:rPr>
        <w:t>2. A — ALARM: Pull the nearest fire alarm pull station. Call 911. Announce Code Red and location.</w:t>
      </w:r>
    </w:p>
    <w:p>
      <w:r>
        <w:rPr>
          <w:rFonts w:ascii="Calibri" w:hAnsi="Calibri"/>
          <w:sz w:val="20"/>
        </w:rPr>
        <w:t>3. C — CONTAIN: Close all doors and windows to contain smoke and fire. Close oxygen shut-off valves if applicable.</w:t>
      </w:r>
    </w:p>
    <w:p>
      <w:r>
        <w:rPr>
          <w:rFonts w:ascii="Calibri" w:hAnsi="Calibri"/>
          <w:sz w:val="20"/>
        </w:rPr>
        <w:t>4. E — EXTINGUISH (if safe and trained): Use a fire extinguisher on small fires using PASS technique:</w:t>
      </w:r>
    </w:p>
    <w:p>
      <w:r>
        <w:rPr>
          <w:rFonts w:ascii="Calibri" w:hAnsi="Calibri"/>
          <w:sz w:val="20"/>
        </w:rPr>
        <w:t xml:space="preserve">   P — Pull the pin</w:t>
      </w:r>
    </w:p>
    <w:p>
      <w:r>
        <w:rPr>
          <w:rFonts w:ascii="Calibri" w:hAnsi="Calibri"/>
          <w:sz w:val="20"/>
        </w:rPr>
        <w:t xml:space="preserve">   A — Aim at the base of the fire</w:t>
      </w:r>
    </w:p>
    <w:p>
      <w:r>
        <w:rPr>
          <w:rFonts w:ascii="Calibri" w:hAnsi="Calibri"/>
          <w:sz w:val="20"/>
        </w:rPr>
        <w:t xml:space="preserve">   S — Squeeze the handle</w:t>
      </w:r>
    </w:p>
    <w:p>
      <w:r>
        <w:rPr>
          <w:rFonts w:ascii="Calibri" w:hAnsi="Calibri"/>
          <w:sz w:val="20"/>
        </w:rPr>
        <w:t xml:space="preserve">   S — Sweep side to side</w:t>
      </w:r>
    </w:p>
    <w:p>
      <w:r>
        <w:rPr>
          <w:rFonts w:ascii="Calibri" w:hAnsi="Calibri"/>
          <w:sz w:val="20"/>
        </w:rPr>
        <w:t>5. If the fire cannot be controlled, evacuate:</w:t>
      </w:r>
    </w:p>
    <w:p>
      <w:r>
        <w:rPr>
          <w:rFonts w:ascii="Calibri" w:hAnsi="Calibri"/>
          <w:sz w:val="20"/>
        </w:rPr>
        <w:t xml:space="preserve">   • Horizontal evacuation first (move to the next fire compartment on the same floor).</w:t>
      </w:r>
    </w:p>
    <w:p>
      <w:r>
        <w:rPr>
          <w:rFonts w:ascii="Calibri" w:hAnsi="Calibri"/>
          <w:sz w:val="20"/>
        </w:rPr>
        <w:t xml:space="preserve">   • Vertical evacuation second (move down to a lower floor via stairwells). NEVER use elevators.</w:t>
      </w:r>
    </w:p>
    <w:p>
      <w:r>
        <w:rPr>
          <w:rFonts w:ascii="Calibri" w:hAnsi="Calibri"/>
          <w:sz w:val="20"/>
        </w:rPr>
        <w:t xml:space="preserve">   • Ambulatory patients walk. Non-ambulatory patients: use evacuation sheets/sleds.</w:t>
      </w:r>
    </w:p>
    <w:p>
      <w:r>
        <w:rPr>
          <w:rFonts w:ascii="Calibri" w:hAnsi="Calibri"/>
          <w:sz w:val="20"/>
        </w:rPr>
        <w:t>6. Account for all patients using the patient census list. Report to the assembly point.</w:t>
      </w:r>
    </w:p>
    <w:p>
      <w:r>
        <w:rPr>
          <w:rFonts w:ascii="Calibri" w:hAnsi="Calibri"/>
          <w:sz w:val="20"/>
        </w:rPr>
        <w:t>7. Fire department assumes command upon arrival. Follow their instructions.</w:t>
      </w:r>
    </w:p>
    <w:p>
      <w:r>
        <w:rPr>
          <w:rFonts w:ascii="Calibri" w:hAnsi="Calibri"/>
          <w:sz w:val="20"/>
        </w:rPr>
        <w:t>8. After the event: Do not re-enter until cleared by the fire department. Complete Incident Report. Debrief.</w:t>
      </w:r>
    </w:p>
    <w:p>
      <w:r>
        <w:rPr>
          <w:rFonts w:ascii="Calibri" w:hAnsi="Calibri"/>
          <w:b/>
          <w:color w:val="2C7BE5"/>
          <w:sz w:val="22"/>
        </w:rPr>
        <w:t>7.4 Code Orange — Mass Casualty / External Disaster</w:t>
      </w:r>
    </w:p>
    <w:p>
      <w:r>
        <w:rPr>
          <w:rFonts w:ascii="Calibri" w:hAnsi="Calibri"/>
          <w:sz w:val="20"/>
        </w:rPr>
        <w:t>Recognition: Notification of a mass casualty incident (MCI) or external disaster requiring facility surge response.</w:t>
      </w:r>
    </w:p>
    <w:p>
      <w:r>
        <w:rPr>
          <w:rFonts w:ascii="Calibri" w:hAnsi="Calibri"/>
          <w:sz w:val="20"/>
        </w:rPr>
        <w:t>1. Incident Commander (Administrator on Call) activates Code Orange and the facility Emergency Operations Plan.</w:t>
      </w:r>
    </w:p>
    <w:p>
      <w:r>
        <w:rPr>
          <w:rFonts w:ascii="Calibri" w:hAnsi="Calibri"/>
          <w:sz w:val="20"/>
        </w:rPr>
        <w:t>2. Establish the Incident Command System (ICS): Incident Commander, Operations, Planning, Logistics, Finance.</w:t>
      </w:r>
    </w:p>
    <w:p>
      <w:r>
        <w:rPr>
          <w:rFonts w:ascii="Calibri" w:hAnsi="Calibri"/>
          <w:sz w:val="20"/>
        </w:rPr>
        <w:t>3. Activate the Staff Callback List to bring in additional personnel.</w:t>
      </w:r>
    </w:p>
    <w:p>
      <w:r>
        <w:rPr>
          <w:rFonts w:ascii="Calibri" w:hAnsi="Calibri"/>
          <w:sz w:val="20"/>
        </w:rPr>
        <w:t>4. Implement surge protocols: discharge stable patients, cancel elective procedures, open surge areas.</w:t>
      </w:r>
    </w:p>
    <w:p>
      <w:r>
        <w:rPr>
          <w:rFonts w:ascii="Calibri" w:hAnsi="Calibri"/>
          <w:sz w:val="20"/>
        </w:rPr>
        <w:t>5. Triage incoming casualties using START (Simple Triage and Rapid Treatment) or CTAS (Canadian Triage and Acuity Scale):</w:t>
      </w:r>
    </w:p>
    <w:p>
      <w:r>
        <w:rPr>
          <w:rFonts w:ascii="Calibri" w:hAnsi="Calibri"/>
          <w:sz w:val="20"/>
        </w:rPr>
        <w:t xml:space="preserve">   • RED (Immediate): Life-threatening, salvageable</w:t>
      </w:r>
    </w:p>
    <w:p>
      <w:r>
        <w:rPr>
          <w:rFonts w:ascii="Calibri" w:hAnsi="Calibri"/>
          <w:sz w:val="20"/>
        </w:rPr>
        <w:t xml:space="preserve">   • YELLOW (Delayed): Serious but stable</w:t>
      </w:r>
    </w:p>
    <w:p>
      <w:r>
        <w:rPr>
          <w:rFonts w:ascii="Calibri" w:hAnsi="Calibri"/>
          <w:sz w:val="20"/>
        </w:rPr>
        <w:t xml:space="preserve">   • GREEN (Minor): Walking wounded</w:t>
      </w:r>
    </w:p>
    <w:p>
      <w:r>
        <w:rPr>
          <w:rFonts w:ascii="Calibri" w:hAnsi="Calibri"/>
          <w:sz w:val="20"/>
        </w:rPr>
        <w:t xml:space="preserve">   • BLACK (Deceased/Expectant): Not salvageable with available resources</w:t>
      </w:r>
    </w:p>
    <w:p>
      <w:r>
        <w:rPr>
          <w:rFonts w:ascii="Calibri" w:hAnsi="Calibri"/>
          <w:sz w:val="20"/>
        </w:rPr>
        <w:t>6. Establish patient tracking: every patient receives a disaster tag with triage category and tracking number.</w:t>
      </w:r>
    </w:p>
    <w:p>
      <w:r>
        <w:rPr>
          <w:rFonts w:ascii="Calibri" w:hAnsi="Calibri"/>
          <w:sz w:val="20"/>
        </w:rPr>
        <w:t>7. Communications: Single spokesperson for media. Staff receive updates via internal notification system only.</w:t>
      </w:r>
    </w:p>
    <w:p>
      <w:r>
        <w:rPr>
          <w:rFonts w:ascii="Calibri" w:hAnsi="Calibri"/>
          <w:sz w:val="20"/>
        </w:rPr>
        <w:t>8. After the event: Operational debriefing within 48 hours. Critical incident stress debriefing for staff. After-action report within 30 days.</w:t>
      </w:r>
    </w:p>
    <w:p>
      <w:r>
        <w:rPr>
          <w:rFonts w:ascii="Calibri" w:hAnsi="Calibri"/>
          <w:b/>
          <w:color w:val="2C7BE5"/>
          <w:sz w:val="22"/>
        </w:rPr>
        <w:t>7.5 Code Yellow — Missing Patient</w:t>
      </w:r>
    </w:p>
    <w:p>
      <w:r>
        <w:rPr>
          <w:rFonts w:ascii="Calibri" w:hAnsi="Calibri"/>
          <w:sz w:val="20"/>
        </w:rPr>
        <w:t>Recognition: A patient is unaccounted for and cannot be located after a reasonable search of the unit.</w:t>
      </w:r>
    </w:p>
    <w:p>
      <w:r>
        <w:rPr>
          <w:rFonts w:ascii="Calibri" w:hAnsi="Calibri"/>
          <w:sz w:val="20"/>
        </w:rPr>
        <w:t>1. Verify the patient is not in the bathroom, common areas, or with another department (diagnostic imaging, lab).</w:t>
      </w:r>
    </w:p>
    <w:p>
      <w:r>
        <w:rPr>
          <w:rFonts w:ascii="Calibri" w:hAnsi="Calibri"/>
          <w:sz w:val="20"/>
        </w:rPr>
        <w:t>2. If not located within 15 minutes, activate Code Yellow. Provide patient description: name, age, physical description, clothing, mental status, mobility level, flight risk factors.</w:t>
      </w:r>
    </w:p>
    <w:p>
      <w:r>
        <w:rPr>
          <w:rFonts w:ascii="Calibri" w:hAnsi="Calibri"/>
          <w:sz w:val="20"/>
        </w:rPr>
        <w:t>3. Search team conducts systematic search: unit first, then floor, then building, then grounds.</w:t>
      </w:r>
    </w:p>
    <w:p>
      <w:r>
        <w:rPr>
          <w:rFonts w:ascii="Calibri" w:hAnsi="Calibri"/>
          <w:sz w:val="20"/>
        </w:rPr>
        <w:t>4. Security monitors exits, parking areas, and reviews security camera footage.</w:t>
      </w:r>
    </w:p>
    <w:p>
      <w:r>
        <w:rPr>
          <w:rFonts w:ascii="Calibri" w:hAnsi="Calibri"/>
          <w:sz w:val="20"/>
        </w:rPr>
        <w:t>5. If the patient is at risk (cognitive impairment, suicidal ideation, elopement risk, pediatric), notify the physician and family immediately. Call 911 if the patient is not located within 30 minutes.</w:t>
      </w:r>
    </w:p>
    <w:p>
      <w:r>
        <w:rPr>
          <w:rFonts w:ascii="Calibri" w:hAnsi="Calibri"/>
          <w:sz w:val="20"/>
        </w:rPr>
        <w:t>6. When the patient is found: assess condition, document, and implement measures to prevent recurrence (sitter, bed alarm, door alarm, care plan update).</w:t>
      </w:r>
    </w:p>
    <w:p>
      <w:r>
        <w:rPr>
          <w:rFonts w:ascii="Calibri" w:hAnsi="Calibri"/>
          <w:sz w:val="20"/>
        </w:rPr>
        <w:t>7. After the event: Complete Incident Report. Review and update elopement risk assessment. Debrief.</w:t>
      </w:r>
    </w:p>
    <w:p>
      <w:r>
        <w:rPr>
          <w:rFonts w:ascii="Calibri" w:hAnsi="Calibri"/>
          <w:b/>
          <w:color w:val="2C7BE5"/>
          <w:sz w:val="22"/>
        </w:rPr>
        <w:t>7.6 Code Brown — Hazardous Material Incident</w:t>
      </w:r>
    </w:p>
    <w:p>
      <w:r>
        <w:rPr>
          <w:rFonts w:ascii="Calibri" w:hAnsi="Calibri"/>
          <w:sz w:val="20"/>
        </w:rPr>
        <w:t>Recognition: Spill, release, or exposure to a hazardous chemical, biological, or radiological substance.</w:t>
      </w:r>
    </w:p>
    <w:p>
      <w:r>
        <w:rPr>
          <w:rFonts w:ascii="Calibri" w:hAnsi="Calibri"/>
          <w:sz w:val="20"/>
        </w:rPr>
        <w:t>1. Evacuate the immediate area. Prevent others from entering. Post warning signage.</w:t>
      </w:r>
    </w:p>
    <w:p>
      <w:r>
        <w:rPr>
          <w:rFonts w:ascii="Calibri" w:hAnsi="Calibri"/>
          <w:sz w:val="20"/>
        </w:rPr>
        <w:t>2. Activate Code Brown. Identify the substance if known (check SDS/Safety Data Sheets in the WHMIS binder).</w:t>
      </w:r>
    </w:p>
    <w:p>
      <w:r>
        <w:rPr>
          <w:rFonts w:ascii="Calibri" w:hAnsi="Calibri"/>
          <w:sz w:val="20"/>
        </w:rPr>
        <w:t>3. If anyone has been exposed: remove contaminated clothing, flush affected skin/eyes with water for 15+ minutes, move to fresh air.</w:t>
      </w:r>
    </w:p>
    <w:p>
      <w:r>
        <w:rPr>
          <w:rFonts w:ascii="Calibri" w:hAnsi="Calibri"/>
          <w:sz w:val="20"/>
        </w:rPr>
        <w:t>4. Contain the spill (if safe and trained): use the spill kit appropriate to the substance. Do NOT attempt to clean unknown substances.</w:t>
      </w:r>
    </w:p>
    <w:p>
      <w:r>
        <w:rPr>
          <w:rFonts w:ascii="Calibri" w:hAnsi="Calibri"/>
          <w:sz w:val="20"/>
        </w:rPr>
        <w:t>5. Facilities/Maintenance responds with appropriate containment and cleanup equipment.</w:t>
      </w:r>
    </w:p>
    <w:p>
      <w:r>
        <w:rPr>
          <w:rFonts w:ascii="Calibri" w:hAnsi="Calibri"/>
          <w:sz w:val="20"/>
        </w:rPr>
        <w:t>6. For large spills, unknown substances, or injuries: Call 911 and the Poison Control Centre.</w:t>
      </w:r>
    </w:p>
    <w:p>
      <w:r>
        <w:rPr>
          <w:rFonts w:ascii="Calibri" w:hAnsi="Calibri"/>
          <w:sz w:val="20"/>
        </w:rPr>
        <w:t>7. Affected area remains closed until cleared by Facilities and/or Environmental Health &amp; Safety.</w:t>
      </w:r>
    </w:p>
    <w:p>
      <w:r>
        <w:rPr>
          <w:rFonts w:ascii="Calibri" w:hAnsi="Calibri"/>
          <w:sz w:val="20"/>
        </w:rPr>
        <w:t>8. After the event: Complete Incident Report. Report to Occupational Health if staff exposure occurred. Debrief.</w:t>
      </w:r>
    </w:p>
    <w:p>
      <w:r>
        <w:rPr>
          <w:rFonts w:ascii="Calibri" w:hAnsi="Calibri"/>
          <w:b/>
          <w:color w:val="2C7BE5"/>
          <w:sz w:val="22"/>
        </w:rPr>
        <w:t>7.7 Code Grey — System Failure / Infrastructure Emergency</w:t>
      </w:r>
    </w:p>
    <w:p>
      <w:r>
        <w:rPr>
          <w:rFonts w:ascii="Calibri" w:hAnsi="Calibri"/>
          <w:sz w:val="20"/>
        </w:rPr>
        <w:t>Recognition: Loss of essential building systems including power, water, HVAC, medical gas, elevators, or IT/EMR systems.</w:t>
      </w:r>
    </w:p>
    <w:p>
      <w:r>
        <w:rPr>
          <w:rFonts w:ascii="Calibri" w:hAnsi="Calibri"/>
          <w:sz w:val="20"/>
        </w:rPr>
        <w:t>1. Activate Code Grey. Identify the affected system and scope (unit, floor, building-wide).</w:t>
      </w:r>
    </w:p>
    <w:p>
      <w:r>
        <w:rPr>
          <w:rFonts w:ascii="Calibri" w:hAnsi="Calibri"/>
          <w:sz w:val="20"/>
        </w:rPr>
        <w:t>2. Power failure: Emergency generator activates automatically (typically within 10 seconds). Verify critical equipment is on emergency power. Use flashlights for immediate illumination.</w:t>
      </w:r>
    </w:p>
    <w:p>
      <w:r>
        <w:rPr>
          <w:rFonts w:ascii="Calibri" w:hAnsi="Calibri"/>
          <w:sz w:val="20"/>
        </w:rPr>
        <w:t>3. Water failure: Conserve existing water supply. Use bottled water for patient hydration. Postpone non-essential procedures requiring water.</w:t>
      </w:r>
    </w:p>
    <w:p>
      <w:r>
        <w:rPr>
          <w:rFonts w:ascii="Calibri" w:hAnsi="Calibri"/>
          <w:sz w:val="20"/>
        </w:rPr>
        <w:t>4. Medical gas failure: Check gas supply alarms. Switch affected patients to portable oxygen. Notify respiratory therapy.</w:t>
      </w:r>
    </w:p>
    <w:p>
      <w:r>
        <w:rPr>
          <w:rFonts w:ascii="Calibri" w:hAnsi="Calibri"/>
          <w:sz w:val="20"/>
        </w:rPr>
        <w:t>5. IT/EMR failure: Switch to downtime procedures (paper charting, printed patient census, paper medication administration records). IT initiates system recovery.</w:t>
      </w:r>
    </w:p>
    <w:p>
      <w:r>
        <w:rPr>
          <w:rFonts w:ascii="Calibri" w:hAnsi="Calibri"/>
          <w:sz w:val="20"/>
        </w:rPr>
        <w:t>6. Facilities/Maintenance leads system restoration. Provide regular status updates to unit managers.</w:t>
      </w:r>
    </w:p>
    <w:p>
      <w:r>
        <w:rPr>
          <w:rFonts w:ascii="Calibri" w:hAnsi="Calibri"/>
          <w:sz w:val="20"/>
        </w:rPr>
        <w:t>7. After restoration: verify all systems are functioning. Transition back from downtime procedures. Enter paper documentation into EMR within 24 hours.</w:t>
      </w:r>
    </w:p>
    <w:p>
      <w:r>
        <w:rPr>
          <w:rFonts w:ascii="Calibri" w:hAnsi="Calibri"/>
          <w:sz w:val="20"/>
        </w:rPr>
        <w:t>8. After the event: Complete Incident Report. Root cause analysis within 7 days. Debrief.</w:t>
      </w:r>
    </w:p>
    <w:p>
      <w:r>
        <w:rPr>
          <w:rFonts w:ascii="Calibri" w:hAnsi="Calibri"/>
          <w:b/>
          <w:color w:val="2C7BE5"/>
          <w:sz w:val="22"/>
        </w:rPr>
        <w:t>7.8 Code Pink — Infant / Child Abduction</w:t>
      </w:r>
    </w:p>
    <w:p>
      <w:r>
        <w:rPr>
          <w:rFonts w:ascii="Calibri" w:hAnsi="Calibri"/>
          <w:sz w:val="20"/>
        </w:rPr>
        <w:t>Recognition: An infant or child is missing or suspected abducted from the facility.</w:t>
      </w:r>
    </w:p>
    <w:p>
      <w:r>
        <w:rPr>
          <w:rFonts w:ascii="Calibri" w:hAnsi="Calibri"/>
          <w:sz w:val="20"/>
        </w:rPr>
        <w:t>1. Activate Code Pink IMMEDIATELY. Do NOT wait to conduct a search first.</w:t>
      </w:r>
    </w:p>
    <w:p>
      <w:r>
        <w:rPr>
          <w:rFonts w:ascii="Calibri" w:hAnsi="Calibri"/>
          <w:sz w:val="20"/>
        </w:rPr>
        <w:t>2. Provide description: infant/child name, age, physical description, clothing, last known location, and time last seen.</w:t>
      </w:r>
    </w:p>
    <w:p>
      <w:r>
        <w:rPr>
          <w:rFonts w:ascii="Calibri" w:hAnsi="Calibri"/>
          <w:sz w:val="20"/>
        </w:rPr>
        <w:t>3. All exits are secured. Security and designated staff position at every exit point. No one leaves with an infant/child until Code Pink is cleared.</w:t>
      </w:r>
    </w:p>
    <w:p>
      <w:r>
        <w:rPr>
          <w:rFonts w:ascii="Calibri" w:hAnsi="Calibri"/>
          <w:sz w:val="20"/>
        </w:rPr>
        <w:t>4. Door alarms on maternity/pediatric units activate (if equipped with infant security tagging system).</w:t>
      </w:r>
    </w:p>
    <w:p>
      <w:r>
        <w:rPr>
          <w:rFonts w:ascii="Calibri" w:hAnsi="Calibri"/>
          <w:sz w:val="20"/>
        </w:rPr>
        <w:t>5. Staff on all units conduct a visual sweep of their area for any unrecognized persons with an infant/child.</w:t>
      </w:r>
    </w:p>
    <w:p>
      <w:r>
        <w:rPr>
          <w:rFonts w:ascii="Calibri" w:hAnsi="Calibri"/>
          <w:sz w:val="20"/>
        </w:rPr>
        <w:t>6. Call 911 immediately. Provide all available information.</w:t>
      </w:r>
    </w:p>
    <w:p>
      <w:r>
        <w:rPr>
          <w:rFonts w:ascii="Calibri" w:hAnsi="Calibri"/>
          <w:sz w:val="20"/>
        </w:rPr>
        <w:t>7. Nursing station preserves the infant's crib, belongings, and any physical evidence. Do not touch or clean.</w:t>
      </w:r>
    </w:p>
    <w:p>
      <w:r>
        <w:rPr>
          <w:rFonts w:ascii="Calibri" w:hAnsi="Calibri"/>
          <w:sz w:val="20"/>
        </w:rPr>
        <w:t>8. Family liaison assigned to the parents/guardians. Keep them informed and supported.</w:t>
      </w:r>
    </w:p>
    <w:p>
      <w:r>
        <w:rPr>
          <w:rFonts w:ascii="Calibri" w:hAnsi="Calibri"/>
          <w:sz w:val="20"/>
        </w:rPr>
        <w:t>9. After the event (whether found or resolved): Complete Incident Report. Law enforcement may take over investigation. Critical incident debriefing for staff. Review and update security protocols.</w:t>
      </w:r>
    </w:p>
    <w:p>
      <w:r>
        <w:rPr>
          <w:rFonts w:ascii="Calibri" w:hAnsi="Calibri"/>
          <w:b/>
          <w:color w:val="2C7BE5"/>
          <w:sz w:val="22"/>
        </w:rPr>
        <w:t>7.9 Debriefing Procedure (All Codes)</w:t>
      </w:r>
    </w:p>
    <w:p>
      <w:r>
        <w:rPr>
          <w:rFonts w:ascii="Calibri" w:hAnsi="Calibri"/>
          <w:sz w:val="20"/>
        </w:rPr>
        <w:t>1. A debriefing session is MANDATORY after every code activation, including drills.</w:t>
      </w:r>
    </w:p>
    <w:p>
      <w:r>
        <w:rPr>
          <w:rFonts w:ascii="Calibri" w:hAnsi="Calibri"/>
          <w:sz w:val="20"/>
        </w:rPr>
        <w:t>2. Conduct an immediate 'hot debrief' within 1 hour of the event (5-10 minutes, on the unit): What happened? What went well? What needs to improve?</w:t>
      </w:r>
    </w:p>
    <w:p>
      <w:r>
        <w:rPr>
          <w:rFonts w:ascii="Calibri" w:hAnsi="Calibri"/>
          <w:sz w:val="20"/>
        </w:rPr>
        <w:t>3. Conduct a formal debriefing within 24-48 hours facilitated by the department manager or Emergency Preparedness Coordinator.</w:t>
      </w:r>
    </w:p>
    <w:p>
      <w:r>
        <w:rPr>
          <w:rFonts w:ascii="Calibri" w:hAnsi="Calibri"/>
          <w:sz w:val="20"/>
        </w:rPr>
        <w:t>4. Document the debriefing including: timeline of events, team performance, equipment issues, communication gaps, lessons learned, and action items.</w:t>
      </w:r>
    </w:p>
    <w:p>
      <w:r>
        <w:rPr>
          <w:rFonts w:ascii="Calibri" w:hAnsi="Calibri"/>
          <w:sz w:val="20"/>
        </w:rPr>
        <w:t>5. Distribute action items with responsible persons and deadlines. Track to completion.</w:t>
      </w:r>
    </w:p>
    <w:p>
      <w:r>
        <w:rPr>
          <w:rFonts w:ascii="Calibri" w:hAnsi="Calibri"/>
          <w:sz w:val="20"/>
        </w:rPr>
        <w:t>6. Offer Employee Assistance Program (EAP) and critical incident stress management (CISM) resources to all involved staff.</w:t>
      </w:r>
    </w:p>
    <w:p>
      <w:r>
        <w:rPr>
          <w:rFonts w:ascii="Calibri" w:hAnsi="Calibri"/>
          <w:sz w:val="20"/>
        </w:rPr>
        <w:t>7. Update emergency response procedures based on lessons learned.</w:t>
      </w:r>
    </w:p>
    <w:p>
      <w:pPr>
        <w:pStyle w:val="Heading2"/>
      </w:pPr>
      <w:r>
        <w:t>8. Quality Checkpoints</w:t>
      </w:r>
    </w:p>
    <w:p>
      <w:pPr>
        <w:pStyle w:val="ListBullet"/>
      </w:pPr>
      <w:r>
        <w:rPr>
          <w:rFonts w:ascii="Calibri" w:hAnsi="Calibri"/>
          <w:sz w:val="20"/>
        </w:rPr>
        <w:t>Emergency code training completion rate: 100% of staff annually</w:t>
      </w:r>
    </w:p>
    <w:p>
      <w:pPr>
        <w:pStyle w:val="ListBullet"/>
      </w:pPr>
      <w:r>
        <w:rPr>
          <w:rFonts w:ascii="Calibri" w:hAnsi="Calibri"/>
          <w:sz w:val="20"/>
        </w:rPr>
        <w:t>Code Blue response time (activation to first responder): target &lt; 3 minutes</w:t>
      </w:r>
    </w:p>
    <w:p>
      <w:pPr>
        <w:pStyle w:val="ListBullet"/>
      </w:pPr>
      <w:r>
        <w:rPr>
          <w:rFonts w:ascii="Calibri" w:hAnsi="Calibri"/>
          <w:sz w:val="20"/>
        </w:rPr>
        <w:t>Fire drill completion: minimum 1 per shift per quarter (as required by fire code)</w:t>
      </w:r>
    </w:p>
    <w:p>
      <w:pPr>
        <w:pStyle w:val="ListBullet"/>
      </w:pPr>
      <w:r>
        <w:rPr>
          <w:rFonts w:ascii="Calibri" w:hAnsi="Calibri"/>
          <w:sz w:val="20"/>
        </w:rPr>
        <w:t>Emergency equipment checks (crash cart, fire extinguishers, spill kits): daily/monthly per schedule</w:t>
      </w:r>
    </w:p>
    <w:p>
      <w:pPr>
        <w:pStyle w:val="ListBullet"/>
      </w:pPr>
      <w:r>
        <w:rPr>
          <w:rFonts w:ascii="Calibri" w:hAnsi="Calibri"/>
          <w:sz w:val="20"/>
        </w:rPr>
        <w:t>Post-event debriefing completed within 48 hours: target 100%</w:t>
      </w:r>
    </w:p>
    <w:p>
      <w:pPr>
        <w:pStyle w:val="ListBullet"/>
      </w:pPr>
      <w:r>
        <w:rPr>
          <w:rFonts w:ascii="Calibri" w:hAnsi="Calibri"/>
          <w:sz w:val="20"/>
        </w:rPr>
        <w:t>Code-related Incident Reports completed within 24 hours: target 100%</w:t>
      </w:r>
    </w:p>
    <w:p>
      <w:pPr>
        <w:pStyle w:val="Heading2"/>
      </w:pPr>
      <w:r>
        <w:t>9. Troubleshooting</w:t>
      </w:r>
    </w:p>
    <w:p>
      <w:r>
        <w:rPr>
          <w:rFonts w:ascii="Calibri" w:hAnsi="Calibri"/>
          <w:b/>
          <w:sz w:val="20"/>
        </w:rPr>
        <w:t>Issue: Overhead paging system fails during a code</w:t>
      </w:r>
    </w:p>
    <w:p>
      <w:r>
        <w:rPr>
          <w:rFonts w:ascii="Calibri" w:hAnsi="Calibri"/>
          <w:sz w:val="20"/>
        </w:rPr>
        <w:t>Resolution: Use backup communication: runners, two-way radios, or mass notification app. Report system failure as Code Grey concurrently.</w:t>
      </w:r>
    </w:p>
    <w:p>
      <w:r>
        <w:rPr>
          <w:rFonts w:ascii="Calibri" w:hAnsi="Calibri"/>
          <w:b/>
          <w:sz w:val="20"/>
        </w:rPr>
        <w:t>Issue: Crash cart is missing equipment or expired medications</w:t>
      </w:r>
    </w:p>
    <w:p>
      <w:r>
        <w:rPr>
          <w:rFonts w:ascii="Calibri" w:hAnsi="Calibri"/>
          <w:sz w:val="20"/>
        </w:rPr>
        <w:t>Resolution: Use supplies from the nearest backup cart. Notify Pharmacy and Biomedical Engineering immediately. Document the deficiency. This is a critical near-miss requiring root cause analysis.</w:t>
      </w:r>
    </w:p>
    <w:p>
      <w:r>
        <w:rPr>
          <w:rFonts w:ascii="Calibri" w:hAnsi="Calibri"/>
          <w:b/>
          <w:sz w:val="20"/>
        </w:rPr>
        <w:t>Issue: Staff are unsure of their role during a code</w:t>
      </w:r>
    </w:p>
    <w:p>
      <w:r>
        <w:rPr>
          <w:rFonts w:ascii="Calibri" w:hAnsi="Calibri"/>
          <w:sz w:val="20"/>
        </w:rPr>
        <w:t>Resolution: The Charge Nurse or Code Team Leader assigns roles explicitly. Use the role assignment cards in the crash cart. After the event, document as a training gap and schedule remediation.</w:t>
      </w:r>
    </w:p>
    <w:p>
      <w:r>
        <w:rPr>
          <w:rFonts w:ascii="Calibri" w:hAnsi="Calibri"/>
          <w:b/>
          <w:sz w:val="20"/>
        </w:rPr>
        <w:t>Issue: Family members interfere during a code</w:t>
      </w:r>
    </w:p>
    <w:p>
      <w:r>
        <w:rPr>
          <w:rFonts w:ascii="Calibri" w:hAnsi="Calibri"/>
          <w:sz w:val="20"/>
        </w:rPr>
        <w:t>Resolution: Assign a dedicated staff member (social worker, chaplain, or nurse) to stay with the family. Offer to bring them to a private area. Provide updates every 10-15 minutes. Family presence at bedside during resuscitation is per facility policy.</w:t>
      </w:r>
    </w:p>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Revision</w:t>
            </w:r>
          </w:p>
        </w:tc>
        <w:tc>
          <w:tcPr>
            <w:tcW w:type="dxa" w:w="2160"/>
            <w:shd w:fill="1A3A5C"/>
          </w:tcPr>
          <w:p>
            <w:r>
              <w:rPr>
                <w:rFonts w:ascii="Calibri" w:hAnsi="Calibri"/>
                <w:b/>
                <w:color w:val="FFFFFF"/>
                <w:sz w:val="18"/>
              </w:rPr>
              <w:t>Date</w:t>
            </w:r>
          </w:p>
        </w:tc>
        <w:tc>
          <w:tcPr>
            <w:tcW w:type="dxa" w:w="2160"/>
            <w:shd w:fill="1A3A5C"/>
          </w:tcPr>
          <w:p>
            <w:r>
              <w:rPr>
                <w:rFonts w:ascii="Calibri" w:hAnsi="Calibri"/>
                <w:b/>
                <w:color w:val="FFFFFF"/>
                <w:sz w:val="18"/>
              </w:rPr>
              <w:t>Description</w:t>
            </w:r>
          </w:p>
        </w:tc>
        <w:tc>
          <w:tcPr>
            <w:tcW w:type="dxa" w:w="2160"/>
            <w:shd w:fill="1A3A5C"/>
          </w:tcPr>
          <w:p>
            <w:r>
              <w:rPr>
                <w:rFonts w:ascii="Calibri" w:hAnsi="Calibri"/>
                <w:b/>
                <w:color w:val="FFFFFF"/>
                <w:sz w:val="18"/>
              </w:rPr>
              <w:t>Author</w:t>
            </w:r>
          </w:p>
        </w:tc>
      </w:tr>
      <w:tr>
        <w:tc>
          <w:tcPr>
            <w:tcW w:type="dxa" w:w="2160"/>
          </w:tcPr>
          <w:p>
            <w:r>
              <w:rPr>
                <w:rFonts w:ascii="Calibri" w:hAnsi="Calibri"/>
                <w:sz w:val="18"/>
              </w:rPr>
              <w:t>1.0</w:t>
            </w:r>
          </w:p>
        </w:tc>
        <w:tc>
          <w:tcPr>
            <w:tcW w:type="dxa" w:w="2160"/>
          </w:tcPr>
          <w:p>
            <w:r>
              <w:rPr>
                <w:rFonts w:ascii="Calibri" w:hAnsi="Calibri"/>
                <w:sz w:val="18"/>
              </w:rPr>
              <w:t>[DATE]</w:t>
            </w:r>
          </w:p>
        </w:tc>
        <w:tc>
          <w:tcPr>
            <w:tcW w:type="dxa" w:w="2160"/>
          </w:tcPr>
          <w:p>
            <w:r>
              <w:rPr>
                <w:rFonts w:ascii="Calibri" w:hAnsi="Calibri"/>
                <w:sz w:val="18"/>
              </w:rPr>
              <w:t>Initial release</w:t>
            </w:r>
          </w:p>
        </w:tc>
        <w:tc>
          <w:tcPr>
            <w:tcW w:type="dxa" w:w="2160"/>
          </w:tcPr>
          <w:p>
            <w:r>
              <w:rPr>
                <w:rFonts w:ascii="Calibri" w:hAnsi="Calibri"/>
                <w:sz w:val="18"/>
              </w:rPr>
              <w:t>[AUTHOR]</w:t>
            </w:r>
          </w:p>
        </w:tc>
      </w:tr>
      <w:tr>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r>
          </w:p>
        </w:tc>
      </w:tr>
    </w:tbl>
    <w:p>
      <w:pPr>
        <w:pStyle w:val="Heading2"/>
      </w:pPr>
      <w:r>
        <w:t>12. Approval Signatures</w:t>
      </w:r>
    </w:p>
    <w:tbl>
      <w:tblPr>
        <w:tblStyle w:val="TableGrid"/>
        <w:tblW w:type="auto" w:w="0"/>
        <w:tblLook w:firstColumn="1" w:firstRow="1" w:lastColumn="0" w:lastRow="0" w:noHBand="0" w:noVBand="1" w:val="04A0"/>
      </w:tblPr>
      <w:tblGrid>
        <w:gridCol w:w="2880"/>
        <w:gridCol w:w="2880"/>
        <w:gridCol w:w="2880"/>
      </w:tblGrid>
      <w:tr>
        <w:tc>
          <w:tcPr>
            <w:tcW w:type="dxa" w:w="2880"/>
            <w:shd w:fill="1A3A5C"/>
          </w:tcPr>
          <w:p>
            <w:r>
              <w:rPr>
                <w:rFonts w:ascii="Calibri" w:hAnsi="Calibri"/>
                <w:b/>
                <w:color w:val="FFFFFF"/>
                <w:sz w:val="18"/>
              </w:rPr>
              <w:t>Role</w:t>
            </w:r>
          </w:p>
        </w:tc>
        <w:tc>
          <w:tcPr>
            <w:tcW w:type="dxa" w:w="2880"/>
            <w:shd w:fill="1A3A5C"/>
          </w:tcPr>
          <w:p>
            <w:r>
              <w:rPr>
                <w:rFonts w:ascii="Calibri" w:hAnsi="Calibri"/>
                <w:b/>
                <w:color w:val="FFFFFF"/>
                <w:sz w:val="18"/>
              </w:rPr>
              <w:t>Signature / Name</w:t>
            </w:r>
          </w:p>
        </w:tc>
        <w:tc>
          <w:tcPr>
            <w:tcW w:type="dxa" w:w="2880"/>
            <w:shd w:fill="1A3A5C"/>
          </w:tcPr>
          <w:p>
            <w:r>
              <w:rPr>
                <w:rFonts w:ascii="Calibri" w:hAnsi="Calibri"/>
                <w:b/>
                <w:color w:val="FFFFFF"/>
                <w:sz w:val="18"/>
              </w:rPr>
              <w:t>Date</w:t>
            </w:r>
          </w:p>
        </w:tc>
      </w:tr>
      <w:tr>
        <w:tc>
          <w:tcPr>
            <w:tcW w:type="dxa" w:w="2880"/>
          </w:tcPr>
          <w:p>
            <w:r>
              <w:rPr>
                <w:sz w:val="18"/>
              </w:rPr>
              <w:t>Prepared By</w:t>
            </w:r>
          </w:p>
        </w:tc>
        <w:tc>
          <w:tcPr>
            <w:tcW w:type="dxa" w:w="2880"/>
          </w:tcPr>
          <w:p/>
        </w:tc>
        <w:tc>
          <w:tcPr>
            <w:tcW w:type="dxa" w:w="2880"/>
          </w:tcPr>
          <w:p/>
        </w:tc>
      </w:tr>
      <w:tr>
        <w:tc>
          <w:tcPr>
            <w:tcW w:type="dxa" w:w="2880"/>
          </w:tcPr>
          <w:p>
            <w:r>
              <w:rPr>
                <w:sz w:val="18"/>
              </w:rPr>
              <w:t>Reviewed By</w:t>
            </w:r>
          </w:p>
        </w:tc>
        <w:tc>
          <w:tcPr>
            <w:tcW w:type="dxa" w:w="2880"/>
          </w:tcPr>
          <w:p/>
        </w:tc>
        <w:tc>
          <w:tcPr>
            <w:tcW w:type="dxa" w:w="2880"/>
          </w:tcPr>
          <w:p/>
        </w:tc>
      </w:tr>
      <w:tr>
        <w:tc>
          <w:tcPr>
            <w:tcW w:type="dxa" w:w="2880"/>
          </w:tcPr>
          <w:p>
            <w:r>
              <w:rPr>
                <w:sz w:val="18"/>
              </w:rPr>
              <w:t>Approved By</w:t>
            </w: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