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A5C"/>
          <w:sz w:val="56"/>
        </w:rPr>
        <w:t>TECH / SaaS SOP PACK</w:t>
      </w:r>
    </w:p>
    <w:p>
      <w:pPr>
        <w:jc w:val="center"/>
      </w:pPr>
      <w:r>
        <w:rPr>
          <w:color w:val="2C7BE5"/>
          <w:sz w:val="28"/>
        </w:rPr>
        <w:t>5 Standard Operating Procedures for Technology &amp; SaaS Organizations</w:t>
      </w:r>
    </w:p>
    <w:p/>
    <w:p>
      <w:pPr>
        <w:jc w:val="center"/>
      </w:pPr>
      <w:r>
        <w:rPr>
          <w:sz w:val="22"/>
        </w:rPr>
        <w:t>SOP-TECH-001: Software Deployment &amp; Release</w:t>
        <w:br/>
        <w:t>SOP-TECH-002: Customer Support Escalation</w:t>
        <w:br/>
        <w:t>SOP-TECH-003: Incident Response</w:t>
        <w:br/>
        <w:t>SOP-TECH-004: User Access Management</w:t>
        <w:br/>
        <w:t>SOP-TECH-005: Data Backup &amp; Recovery</w:t>
      </w:r>
    </w:p>
    <w:p>
      <w:pPr>
        <w:jc w:val="center"/>
      </w:pPr>
      <w:r>
        <w:rPr>
          <w:i/>
          <w:color w:val="2C7BE5"/>
          <w:sz w:val="18"/>
        </w:rPr>
        <w:br/>
        <w:br/>
        <w:t>Built with Pure Work AI</w:t>
      </w:r>
    </w:p>
    <w:p>
      <w:r>
        <w:br w:type="page"/>
      </w:r>
    </w:p>
    <w:p>
      <w:pPr>
        <w:pStyle w:val="Heading1"/>
      </w:pPr>
      <w:r>
        <w:rPr>
          <w:rFonts w:ascii="Calibri" w:hAnsi="Calibri"/>
          <w:color w:val="1A3A5C"/>
        </w:rPr>
        <w:t>SOP-TECH-001: Software Deployment &amp; Release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SOP-TECH-001</w:t>
            </w:r>
          </w:p>
        </w:tc>
      </w:tr>
      <w:tr>
        <w:tc>
          <w:tcPr>
            <w:tcW w:type="dxa" w:w="4703"/>
          </w:tcPr>
          <w:p>
            <w:r/>
            <w:r>
              <w:rPr>
                <w:rFonts w:ascii="Calibri" w:hAnsi="Calibri"/>
                <w:b/>
                <w:sz w:val="20"/>
              </w:rPr>
              <w:t>Title</w:t>
            </w:r>
          </w:p>
        </w:tc>
        <w:tc>
          <w:tcPr>
            <w:tcW w:type="dxa" w:w="4703"/>
          </w:tcPr>
          <w:p>
            <w:r/>
            <w:r>
              <w:rPr>
                <w:rFonts w:ascii="Calibri" w:hAnsi="Calibri"/>
                <w:sz w:val="20"/>
              </w:rPr>
              <w:t>Software Deployment &amp; Release</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Engineering / DevOps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a standardized process for deploying software releases to staging and production environments, minimizing deployment risk, ensuring traceability, and providing clear rollback procedures in case of failure.</w:t>
      </w:r>
    </w:p>
    <w:p>
      <w:pPr>
        <w:pStyle w:val="Heading2"/>
      </w:pPr>
      <w:r>
        <w:rPr>
          <w:rFonts w:ascii="Calibri" w:hAnsi="Calibri"/>
          <w:color w:val="1A3A5C"/>
        </w:rPr>
        <w:t>2. Scope</w:t>
      </w:r>
    </w:p>
    <w:p>
      <w:r>
        <w:rPr>
          <w:rFonts w:ascii="Calibri" w:hAnsi="Calibri"/>
          <w:b w:val="0"/>
          <w:i w:val="0"/>
          <w:sz w:val="20"/>
        </w:rPr>
        <w:t>This SOP applies to all software deployments for the company's SaaS platform, including feature releases, hotfixes, security patches, and infrastructure changes. It covers deployments to staging, pre-production, and production environments.</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CI/CD</w:t>
            </w:r>
          </w:p>
        </w:tc>
        <w:tc>
          <w:tcPr>
            <w:tcW w:type="dxa" w:w="4703"/>
          </w:tcPr>
          <w:p>
            <w:r/>
            <w:r>
              <w:rPr>
                <w:rFonts w:ascii="Calibri" w:hAnsi="Calibri"/>
                <w:sz w:val="20"/>
              </w:rPr>
              <w:t>Continuous Integration / Continuous Deployment -- automated pipeline for building, testing, and deploying code</w:t>
            </w:r>
          </w:p>
        </w:tc>
      </w:tr>
      <w:tr>
        <w:tc>
          <w:tcPr>
            <w:tcW w:type="dxa" w:w="4703"/>
          </w:tcPr>
          <w:p>
            <w:r/>
            <w:r>
              <w:rPr>
                <w:rFonts w:ascii="Calibri" w:hAnsi="Calibri"/>
                <w:sz w:val="20"/>
              </w:rPr>
              <w:t>Blue-Green Deploy</w:t>
            </w:r>
          </w:p>
        </w:tc>
        <w:tc>
          <w:tcPr>
            <w:tcW w:type="dxa" w:w="4703"/>
          </w:tcPr>
          <w:p>
            <w:r/>
            <w:r>
              <w:rPr>
                <w:rFonts w:ascii="Calibri" w:hAnsi="Calibri"/>
                <w:sz w:val="20"/>
              </w:rPr>
              <w:t>Deployment strategy using two identical environments to enable zero-downtime releases</w:t>
            </w:r>
          </w:p>
        </w:tc>
      </w:tr>
      <w:tr>
        <w:tc>
          <w:tcPr>
            <w:tcW w:type="dxa" w:w="4703"/>
          </w:tcPr>
          <w:p>
            <w:r/>
            <w:r>
              <w:rPr>
                <w:rFonts w:ascii="Calibri" w:hAnsi="Calibri"/>
                <w:sz w:val="20"/>
              </w:rPr>
              <w:t>Canary Release</w:t>
            </w:r>
          </w:p>
        </w:tc>
        <w:tc>
          <w:tcPr>
            <w:tcW w:type="dxa" w:w="4703"/>
          </w:tcPr>
          <w:p>
            <w:r/>
            <w:r>
              <w:rPr>
                <w:rFonts w:ascii="Calibri" w:hAnsi="Calibri"/>
                <w:sz w:val="20"/>
              </w:rPr>
              <w:t>Deploying to a small subset of users/servers first to detect issues before full rollout</w:t>
            </w:r>
          </w:p>
        </w:tc>
      </w:tr>
      <w:tr>
        <w:tc>
          <w:tcPr>
            <w:tcW w:type="dxa" w:w="4703"/>
          </w:tcPr>
          <w:p>
            <w:r/>
            <w:r>
              <w:rPr>
                <w:rFonts w:ascii="Calibri" w:hAnsi="Calibri"/>
                <w:sz w:val="20"/>
              </w:rPr>
              <w:t>Rollback</w:t>
            </w:r>
          </w:p>
        </w:tc>
        <w:tc>
          <w:tcPr>
            <w:tcW w:type="dxa" w:w="4703"/>
          </w:tcPr>
          <w:p>
            <w:r/>
            <w:r>
              <w:rPr>
                <w:rFonts w:ascii="Calibri" w:hAnsi="Calibri"/>
                <w:sz w:val="20"/>
              </w:rPr>
              <w:t>Reverting to the previous known-good version after a failed deployment</w:t>
            </w:r>
          </w:p>
        </w:tc>
      </w:tr>
      <w:tr>
        <w:tc>
          <w:tcPr>
            <w:tcW w:type="dxa" w:w="4703"/>
          </w:tcPr>
          <w:p>
            <w:r/>
            <w:r>
              <w:rPr>
                <w:rFonts w:ascii="Calibri" w:hAnsi="Calibri"/>
                <w:sz w:val="20"/>
              </w:rPr>
              <w:t>Feature Flag</w:t>
            </w:r>
          </w:p>
        </w:tc>
        <w:tc>
          <w:tcPr>
            <w:tcW w:type="dxa" w:w="4703"/>
          </w:tcPr>
          <w:p>
            <w:r/>
            <w:r>
              <w:rPr>
                <w:rFonts w:ascii="Calibri" w:hAnsi="Calibri"/>
                <w:sz w:val="20"/>
              </w:rPr>
              <w:t>Configuration toggle that enables or disables features without deploying new code</w:t>
            </w:r>
          </w:p>
        </w:tc>
      </w:tr>
    </w:tbl>
    <w:p/>
    <w:p>
      <w:pPr>
        <w:pStyle w:val="Heading2"/>
      </w:pPr>
      <w:r>
        <w:rPr>
          <w:rFonts w:ascii="Calibri" w:hAnsi="Calibri"/>
          <w:color w:val="1A3A5C"/>
        </w:rPr>
        <w:t>4. Procedure</w:t>
      </w:r>
    </w:p>
    <w:p>
      <w:r>
        <w:rPr>
          <w:rFonts w:ascii="Calibri" w:hAnsi="Calibri"/>
          <w:b/>
          <w:i w:val="0"/>
          <w:sz w:val="20"/>
        </w:rPr>
        <w:t>4.1 Pre-Deployment Checklist</w:t>
      </w:r>
    </w:p>
    <w:p>
      <w:r>
        <w:rPr>
          <w:rFonts w:ascii="Calibri" w:hAnsi="Calibri"/>
          <w:b w:val="0"/>
          <w:i w:val="0"/>
          <w:sz w:val="20"/>
        </w:rPr>
        <w:t xml:space="preserve">  1. Verify all code changes have been merged to the release branch and peer-reviewed (minimum 2 approvals on the pull request).</w:t>
      </w:r>
    </w:p>
    <w:p>
      <w:r>
        <w:rPr>
          <w:rFonts w:ascii="Calibri" w:hAnsi="Calibri"/>
          <w:b w:val="0"/>
          <w:i w:val="0"/>
          <w:sz w:val="20"/>
        </w:rPr>
        <w:t xml:space="preserve">  2. Confirm all automated tests pass in CI: unit tests (100% pass required), integration tests (100% pass required), and end-to-end tests (95%+ pass required with known flaky tests documented).</w:t>
      </w:r>
    </w:p>
    <w:p>
      <w:r>
        <w:rPr>
          <w:rFonts w:ascii="Calibri" w:hAnsi="Calibri"/>
          <w:b w:val="0"/>
          <w:i w:val="0"/>
          <w:sz w:val="20"/>
        </w:rPr>
        <w:t xml:space="preserve">  3. Review the change log: list all features, bug fixes, and breaking changes included in this release.</w:t>
      </w:r>
    </w:p>
    <w:p>
      <w:r>
        <w:rPr>
          <w:rFonts w:ascii="Calibri" w:hAnsi="Calibri"/>
          <w:b w:val="0"/>
          <w:i w:val="0"/>
          <w:sz w:val="20"/>
        </w:rPr>
        <w:t xml:space="preserve">  4. Verify database migrations have been tested on a copy of the production database (not just an empty schema).</w:t>
      </w:r>
    </w:p>
    <w:p>
      <w:r>
        <w:rPr>
          <w:rFonts w:ascii="Calibri" w:hAnsi="Calibri"/>
          <w:b w:val="0"/>
          <w:i w:val="0"/>
          <w:sz w:val="20"/>
        </w:rPr>
        <w:t xml:space="preserve">  5. Confirm any new environment variables, secrets, or configuration changes have been applied to the target environment.</w:t>
      </w:r>
    </w:p>
    <w:p>
      <w:r>
        <w:rPr>
          <w:rFonts w:ascii="Calibri" w:hAnsi="Calibri"/>
          <w:b w:val="0"/>
          <w:i w:val="0"/>
          <w:sz w:val="20"/>
        </w:rPr>
        <w:t xml:space="preserve">  6. Check infrastructure capacity: verify auto-scaling thresholds, disk space, and connection pool limits are adequate for the release.</w:t>
      </w:r>
    </w:p>
    <w:p>
      <w:r>
        <w:rPr>
          <w:rFonts w:ascii="Calibri" w:hAnsi="Calibri"/>
          <w:b w:val="0"/>
          <w:i w:val="0"/>
          <w:sz w:val="20"/>
        </w:rPr>
        <w:t xml:space="preserve">  7. Notify the Customer Support team of the planned deployment: provide the change log, expected downtime (if any), and known issues.</w:t>
      </w:r>
    </w:p>
    <w:p>
      <w:r>
        <w:rPr>
          <w:rFonts w:ascii="Calibri" w:hAnsi="Calibri"/>
          <w:b w:val="0"/>
          <w:i w:val="0"/>
          <w:sz w:val="20"/>
        </w:rPr>
        <w:t xml:space="preserve">  8. Schedule the deployment window: standard releases deploy Tuesday-Thursday 10:00-14:00 local time; hotfixes may deploy anytime with VP Engineering approval.</w:t>
      </w:r>
    </w:p>
    <w:p>
      <w:r>
        <w:rPr>
          <w:rFonts w:ascii="Calibri" w:hAnsi="Calibri"/>
          <w:b w:val="0"/>
          <w:i w:val="0"/>
          <w:sz w:val="20"/>
        </w:rPr>
        <w:t xml:space="preserve">  9. Complete the Deployment Approval Form (Form ENG-001) with signatures from: Release Engineer, QA Lead, and VP Engineering.</w:t>
      </w:r>
    </w:p>
    <w:p>
      <w:r>
        <w:rPr>
          <w:rFonts w:ascii="Calibri" w:hAnsi="Calibri"/>
          <w:b/>
          <w:i w:val="0"/>
          <w:sz w:val="20"/>
        </w:rPr>
        <w:t>4.2 Staging Deployment &amp; Verification</w:t>
      </w:r>
    </w:p>
    <w:p>
      <w:r>
        <w:rPr>
          <w:rFonts w:ascii="Calibri" w:hAnsi="Calibri"/>
          <w:b w:val="0"/>
          <w:i w:val="0"/>
          <w:sz w:val="20"/>
        </w:rPr>
        <w:t xml:space="preserve">  1. Deploy the release to the staging environment using the CI/CD pipeline. Do NOT manually deploy.</w:t>
      </w:r>
    </w:p>
    <w:p>
      <w:r>
        <w:rPr>
          <w:rFonts w:ascii="Calibri" w:hAnsi="Calibri"/>
          <w:b w:val="0"/>
          <w:i w:val="0"/>
          <w:sz w:val="20"/>
        </w:rPr>
        <w:t xml:space="preserve">  2. Run the full automated test suite against staging. All tests must pass.</w:t>
      </w:r>
    </w:p>
    <w:p>
      <w:r>
        <w:rPr>
          <w:rFonts w:ascii="Calibri" w:hAnsi="Calibri"/>
          <w:b w:val="0"/>
          <w:i w:val="0"/>
          <w:sz w:val="20"/>
        </w:rPr>
        <w:t xml:space="preserve">  3. Perform manual smoke testing: log in, navigate core workflows, verify new features work as expected.</w:t>
      </w:r>
    </w:p>
    <w:p>
      <w:r>
        <w:rPr>
          <w:rFonts w:ascii="Calibri" w:hAnsi="Calibri"/>
          <w:b w:val="0"/>
          <w:i w:val="0"/>
          <w:sz w:val="20"/>
        </w:rPr>
        <w:t xml:space="preserve">  4. QA Lead completes the Staging Verification Checklist (Form ENG-002) and signs off.</w:t>
      </w:r>
    </w:p>
    <w:p>
      <w:r>
        <w:rPr>
          <w:rFonts w:ascii="Calibri" w:hAnsi="Calibri"/>
          <w:b w:val="0"/>
          <w:i w:val="0"/>
          <w:sz w:val="20"/>
        </w:rPr>
        <w:t xml:space="preserve">  5. IF staging verification fails: stop the release. Fix the issue, re-deploy to staging, and re-verify. Do NOT proceed to production.</w:t>
      </w:r>
    </w:p>
    <w:p>
      <w:r>
        <w:rPr>
          <w:rFonts w:ascii="Calibri" w:hAnsi="Calibri"/>
          <w:b/>
          <w:i w:val="0"/>
          <w:sz w:val="20"/>
        </w:rPr>
        <w:t>4.3 Production Deployment</w:t>
      </w:r>
    </w:p>
    <w:p>
      <w:r>
        <w:rPr>
          <w:rFonts w:ascii="Calibri" w:hAnsi="Calibri"/>
          <w:b w:val="0"/>
          <w:i w:val="0"/>
          <w:sz w:val="20"/>
        </w:rPr>
        <w:t xml:space="preserve">  1. Announce the deployment in the #deployments Slack channel: 'Deploying v[X.Y.Z] to production. ETA: [time]. Release engineer: [name].'</w:t>
      </w:r>
    </w:p>
    <w:p>
      <w:r>
        <w:rPr>
          <w:rFonts w:ascii="Calibri" w:hAnsi="Calibri"/>
          <w:b w:val="0"/>
          <w:i w:val="0"/>
          <w:sz w:val="20"/>
        </w:rPr>
        <w:t xml:space="preserve">  2. Execute the production deployment via the CI/CD pipeline. Standard strategy: blue-green deployment.</w:t>
      </w:r>
    </w:p>
    <w:p>
      <w:r>
        <w:rPr>
          <w:rFonts w:ascii="Calibri" w:hAnsi="Calibri"/>
          <w:b w:val="0"/>
          <w:i w:val="0"/>
          <w:sz w:val="20"/>
        </w:rPr>
        <w:t xml:space="preserve">  3. Monitor the deployment dashboard during rollout: error rates, response times, CPU/memory utilization, queue depths.</w:t>
      </w:r>
    </w:p>
    <w:p>
      <w:r>
        <w:rPr>
          <w:rFonts w:ascii="Calibri" w:hAnsi="Calibri"/>
          <w:b w:val="0"/>
          <w:i w:val="0"/>
          <w:sz w:val="20"/>
        </w:rPr>
        <w:t xml:space="preserve">  4. For canary releases: route 5% of traffic to the new version. Monitor for 15 minutes. If error rate stays below baseline + 0.5%, proceed to 25%, then 50%, then 100%.</w:t>
      </w:r>
    </w:p>
    <w:p>
      <w:r>
        <w:rPr>
          <w:rFonts w:ascii="Calibri" w:hAnsi="Calibri"/>
          <w:b w:val="0"/>
          <w:i w:val="0"/>
          <w:sz w:val="20"/>
        </w:rPr>
        <w:t xml:space="preserve">  5. Run the production smoke test suite (automated, 2-minute run): health checks, critical API endpoints, authentication flow.</w:t>
      </w:r>
    </w:p>
    <w:p>
      <w:r>
        <w:rPr>
          <w:rFonts w:ascii="Calibri" w:hAnsi="Calibri"/>
          <w:b w:val="0"/>
          <w:i w:val="0"/>
          <w:sz w:val="20"/>
        </w:rPr>
        <w:t xml:space="preserve">  6. Verify database migrations completed successfully. Check for any failed migration steps.</w:t>
      </w:r>
    </w:p>
    <w:p>
      <w:r>
        <w:rPr>
          <w:rFonts w:ascii="Calibri" w:hAnsi="Calibri"/>
          <w:b w:val="0"/>
          <w:i w:val="0"/>
          <w:sz w:val="20"/>
        </w:rPr>
        <w:t xml:space="preserve">  7. Announce completion: 'v[X.Y.Z] deployed to production successfully. All health checks passing.'</w:t>
      </w:r>
    </w:p>
    <w:p>
      <w:r>
        <w:rPr>
          <w:rFonts w:ascii="Calibri" w:hAnsi="Calibri"/>
          <w:b/>
          <w:i w:val="0"/>
          <w:sz w:val="20"/>
        </w:rPr>
        <w:t>4.4 Post-Deployment Monitoring</w:t>
      </w:r>
    </w:p>
    <w:p>
      <w:r>
        <w:rPr>
          <w:rFonts w:ascii="Calibri" w:hAnsi="Calibri"/>
          <w:b w:val="0"/>
          <w:i w:val="0"/>
          <w:sz w:val="20"/>
        </w:rPr>
        <w:t xml:space="preserve">  1. Monitor production dashboards actively for 30 minutes after deployment.</w:t>
      </w:r>
    </w:p>
    <w:p>
      <w:r>
        <w:rPr>
          <w:rFonts w:ascii="Calibri" w:hAnsi="Calibri"/>
          <w:b w:val="0"/>
          <w:i w:val="0"/>
          <w:sz w:val="20"/>
        </w:rPr>
        <w:t xml:space="preserve">  2. Watch for: elevated error rates (&gt;0.5% above baseline), increased latency (&gt;200ms above P95 baseline), elevated CPU/memory (&gt;80% sustained), and customer-reported issues.</w:t>
      </w:r>
    </w:p>
    <w:p>
      <w:r>
        <w:rPr>
          <w:rFonts w:ascii="Calibri" w:hAnsi="Calibri"/>
          <w:b w:val="0"/>
          <w:i w:val="0"/>
          <w:sz w:val="20"/>
        </w:rPr>
        <w:t xml:space="preserve">  3. IF anomalies are detected: initiate rollback (Step 4.5) immediately. Do NOT attempt to fix forward during the monitoring window.</w:t>
      </w:r>
    </w:p>
    <w:p>
      <w:r>
        <w:rPr>
          <w:rFonts w:ascii="Calibri" w:hAnsi="Calibri"/>
          <w:b w:val="0"/>
          <w:i w:val="0"/>
          <w:sz w:val="20"/>
        </w:rPr>
        <w:t xml:space="preserve">  4. After 30 minutes of stable monitoring, notify the team: 'Post-deploy monitoring complete. No issues detected. Release stable.'</w:t>
      </w:r>
    </w:p>
    <w:p>
      <w:r>
        <w:rPr>
          <w:rFonts w:ascii="Calibri" w:hAnsi="Calibri"/>
          <w:b w:val="0"/>
          <w:i w:val="0"/>
          <w:sz w:val="20"/>
        </w:rPr>
        <w:t xml:space="preserve">  5. Update the release log in the deployment tracking system with: version, deploy time, engineer, and status.</w:t>
      </w:r>
    </w:p>
    <w:p>
      <w:r>
        <w:rPr>
          <w:rFonts w:ascii="Calibri" w:hAnsi="Calibri"/>
          <w:b/>
          <w:i w:val="0"/>
          <w:sz w:val="20"/>
        </w:rPr>
        <w:t>4.5 Rollback Procedure</w:t>
      </w:r>
    </w:p>
    <w:p>
      <w:r>
        <w:rPr>
          <w:rFonts w:ascii="Calibri" w:hAnsi="Calibri"/>
          <w:b w:val="0"/>
          <w:i w:val="0"/>
          <w:sz w:val="20"/>
        </w:rPr>
        <w:t xml:space="preserve">  1. IF a critical issue is detected post-deployment, announce in #deployments: 'ROLLBACK INITIATED for v[X.Y.Z]. Reason: [brief description].'</w:t>
      </w:r>
    </w:p>
    <w:p>
      <w:r>
        <w:rPr>
          <w:rFonts w:ascii="Calibri" w:hAnsi="Calibri"/>
          <w:b w:val="0"/>
          <w:i w:val="0"/>
          <w:sz w:val="20"/>
        </w:rPr>
        <w:t xml:space="preserve">  2. Execute rollback via the CI/CD pipeline: switch traffic back to the previous version (blue-green) or deploy the previous version tag.</w:t>
      </w:r>
    </w:p>
    <w:p>
      <w:r>
        <w:rPr>
          <w:rFonts w:ascii="Calibri" w:hAnsi="Calibri"/>
          <w:b w:val="0"/>
          <w:i w:val="0"/>
          <w:sz w:val="20"/>
        </w:rPr>
        <w:t xml:space="preserve">  3. For database rollbacks: execute the down migration ONLY if the migration is backward-compatible. If NOT backward-compatible, escalate to the DBA and VP Engineering before rolling back.</w:t>
      </w:r>
    </w:p>
    <w:p>
      <w:r>
        <w:rPr>
          <w:rFonts w:ascii="Calibri" w:hAnsi="Calibri"/>
          <w:b w:val="0"/>
          <w:i w:val="0"/>
          <w:sz w:val="20"/>
        </w:rPr>
        <w:t xml:space="preserve">  4. Verify the rollback succeeded: run production smoke tests against the reverted version.</w:t>
      </w:r>
    </w:p>
    <w:p>
      <w:r>
        <w:rPr>
          <w:rFonts w:ascii="Calibri" w:hAnsi="Calibri"/>
          <w:b w:val="0"/>
          <w:i w:val="0"/>
          <w:sz w:val="20"/>
        </w:rPr>
        <w:t xml:space="preserve">  5. Announce: 'ROLLBACK COMPLETE. Production is running v[previous]. Root cause investigation to follow.'</w:t>
      </w:r>
    </w:p>
    <w:p>
      <w:r>
        <w:rPr>
          <w:rFonts w:ascii="Calibri" w:hAnsi="Calibri"/>
          <w:b w:val="0"/>
          <w:i w:val="0"/>
          <w:sz w:val="20"/>
        </w:rPr>
        <w:t xml:space="preserve">  6. Create a post-incident ticket. Schedule a blameless post-mortem within 48 hours (see SOP-TECH-003).</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SOP-TECH-002: Customer Support Escalation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SOP-TECH-002</w:t>
            </w:r>
          </w:p>
        </w:tc>
      </w:tr>
      <w:tr>
        <w:tc>
          <w:tcPr>
            <w:tcW w:type="dxa" w:w="4703"/>
          </w:tcPr>
          <w:p>
            <w:r/>
            <w:r>
              <w:rPr>
                <w:rFonts w:ascii="Calibri" w:hAnsi="Calibri"/>
                <w:b/>
                <w:sz w:val="20"/>
              </w:rPr>
              <w:t>Title</w:t>
            </w:r>
          </w:p>
        </w:tc>
        <w:tc>
          <w:tcPr>
            <w:tcW w:type="dxa" w:w="4703"/>
          </w:tcPr>
          <w:p>
            <w:r/>
            <w:r>
              <w:rPr>
                <w:rFonts w:ascii="Calibri" w:hAnsi="Calibri"/>
                <w:sz w:val="20"/>
              </w:rPr>
              <w:t>Customer Support Escalation</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Customer Support / Engineering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the triage, severity classification, response time commitments, and escalation path for customer-reported issues to ensure consistent, timely resolution and clear communication.</w:t>
      </w:r>
    </w:p>
    <w:p>
      <w:pPr>
        <w:pStyle w:val="Heading2"/>
      </w:pPr>
      <w:r>
        <w:rPr>
          <w:rFonts w:ascii="Calibri" w:hAnsi="Calibri"/>
          <w:color w:val="1A3A5C"/>
        </w:rPr>
        <w:t>2. Scope</w:t>
      </w:r>
    </w:p>
    <w:p>
      <w:r>
        <w:rPr>
          <w:rFonts w:ascii="Calibri" w:hAnsi="Calibri"/>
          <w:b w:val="0"/>
          <w:i w:val="0"/>
          <w:sz w:val="20"/>
        </w:rPr>
        <w:t>This SOP applies to all customer-facing support channels: in-app support chat, email support, phone support, and social media mentions. It covers all tiers of support from Level 1 (frontline) through Level 3 (engineering).</w:t>
      </w:r>
    </w:p>
    <w:p>
      <w:pPr>
        <w:pStyle w:val="Heading2"/>
      </w:pPr>
      <w:r>
        <w:rPr>
          <w:rFonts w:ascii="Calibri" w:hAnsi="Calibri"/>
          <w:color w:val="1A3A5C"/>
        </w:rPr>
        <w:t>3. Severity Levels &amp; SLAs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1A3A5C"/>
          </w:tcPr>
          <w:p>
            <w:r>
              <w:rPr>
                <w:b/>
                <w:color w:val="FFFFFF"/>
                <w:sz w:val="20"/>
              </w:rPr>
              <w:t>Severity</w:t>
            </w:r>
          </w:p>
        </w:tc>
        <w:tc>
          <w:tcPr>
            <w:tcW w:type="dxa" w:w="1881"/>
            <w:shd w:fill="1A3A5C"/>
          </w:tcPr>
          <w:p>
            <w:r>
              <w:rPr>
                <w:b/>
                <w:color w:val="FFFFFF"/>
                <w:sz w:val="20"/>
              </w:rPr>
              <w:t>Description</w:t>
            </w:r>
          </w:p>
        </w:tc>
        <w:tc>
          <w:tcPr>
            <w:tcW w:type="dxa" w:w="1881"/>
            <w:shd w:fill="1A3A5C"/>
          </w:tcPr>
          <w:p>
            <w:r>
              <w:rPr>
                <w:b/>
                <w:color w:val="FFFFFF"/>
                <w:sz w:val="20"/>
              </w:rPr>
              <w:t>Example</w:t>
            </w:r>
          </w:p>
        </w:tc>
        <w:tc>
          <w:tcPr>
            <w:tcW w:type="dxa" w:w="1881"/>
            <w:shd w:fill="1A3A5C"/>
          </w:tcPr>
          <w:p>
            <w:r>
              <w:rPr>
                <w:b/>
                <w:color w:val="FFFFFF"/>
                <w:sz w:val="20"/>
              </w:rPr>
              <w:t>First Response</w:t>
            </w:r>
          </w:p>
        </w:tc>
        <w:tc>
          <w:tcPr>
            <w:tcW w:type="dxa" w:w="1881"/>
            <w:shd w:fill="1A3A5C"/>
          </w:tcPr>
          <w:p>
            <w:r>
              <w:rPr>
                <w:b/>
                <w:color w:val="FFFFFF"/>
                <w:sz w:val="20"/>
              </w:rPr>
              <w:t>Resolution Target</w:t>
            </w:r>
          </w:p>
        </w:tc>
      </w:tr>
      <w:tr>
        <w:tc>
          <w:tcPr>
            <w:tcW w:type="dxa" w:w="1881"/>
          </w:tcPr>
          <w:p>
            <w:r/>
            <w:r>
              <w:rPr>
                <w:rFonts w:ascii="Calibri" w:hAnsi="Calibri"/>
                <w:sz w:val="20"/>
              </w:rPr>
              <w:t>SEV-1 (Critical)</w:t>
            </w:r>
          </w:p>
        </w:tc>
        <w:tc>
          <w:tcPr>
            <w:tcW w:type="dxa" w:w="1881"/>
          </w:tcPr>
          <w:p>
            <w:r/>
            <w:r>
              <w:rPr>
                <w:rFonts w:ascii="Calibri" w:hAnsi="Calibri"/>
                <w:sz w:val="20"/>
              </w:rPr>
              <w:t>Production down; all users affected; data loss risk</w:t>
            </w:r>
          </w:p>
        </w:tc>
        <w:tc>
          <w:tcPr>
            <w:tcW w:type="dxa" w:w="1881"/>
          </w:tcPr>
          <w:p>
            <w:r/>
            <w:r>
              <w:rPr>
                <w:rFonts w:ascii="Calibri" w:hAnsi="Calibri"/>
                <w:sz w:val="20"/>
              </w:rPr>
              <w:t>Platform completely inaccessible; data corruption</w:t>
            </w:r>
          </w:p>
        </w:tc>
        <w:tc>
          <w:tcPr>
            <w:tcW w:type="dxa" w:w="1881"/>
          </w:tcPr>
          <w:p>
            <w:r/>
            <w:r>
              <w:rPr>
                <w:rFonts w:ascii="Calibri" w:hAnsi="Calibri"/>
                <w:sz w:val="20"/>
              </w:rPr>
              <w:t>15 minutes</w:t>
            </w:r>
          </w:p>
        </w:tc>
        <w:tc>
          <w:tcPr>
            <w:tcW w:type="dxa" w:w="1881"/>
          </w:tcPr>
          <w:p>
            <w:r/>
            <w:r>
              <w:rPr>
                <w:rFonts w:ascii="Calibri" w:hAnsi="Calibri"/>
                <w:sz w:val="20"/>
              </w:rPr>
              <w:t>4 hours</w:t>
            </w:r>
          </w:p>
        </w:tc>
      </w:tr>
      <w:tr>
        <w:tc>
          <w:tcPr>
            <w:tcW w:type="dxa" w:w="1881"/>
          </w:tcPr>
          <w:p>
            <w:r/>
            <w:r>
              <w:rPr>
                <w:rFonts w:ascii="Calibri" w:hAnsi="Calibri"/>
                <w:sz w:val="20"/>
              </w:rPr>
              <w:t>SEV-2 (High)</w:t>
            </w:r>
          </w:p>
        </w:tc>
        <w:tc>
          <w:tcPr>
            <w:tcW w:type="dxa" w:w="1881"/>
          </w:tcPr>
          <w:p>
            <w:r/>
            <w:r>
              <w:rPr>
                <w:rFonts w:ascii="Calibri" w:hAnsi="Calibri"/>
                <w:sz w:val="20"/>
              </w:rPr>
              <w:t>Major feature broken; significant user impact; workaround exists</w:t>
            </w:r>
          </w:p>
        </w:tc>
        <w:tc>
          <w:tcPr>
            <w:tcW w:type="dxa" w:w="1881"/>
          </w:tcPr>
          <w:p>
            <w:r/>
            <w:r>
              <w:rPr>
                <w:rFonts w:ascii="Calibri" w:hAnsi="Calibri"/>
                <w:sz w:val="20"/>
              </w:rPr>
              <w:t>Payment processing failing; reports not generating</w:t>
            </w:r>
          </w:p>
        </w:tc>
        <w:tc>
          <w:tcPr>
            <w:tcW w:type="dxa" w:w="1881"/>
          </w:tcPr>
          <w:p>
            <w:r/>
            <w:r>
              <w:rPr>
                <w:rFonts w:ascii="Calibri" w:hAnsi="Calibri"/>
                <w:sz w:val="20"/>
              </w:rPr>
              <w:t>1 hour</w:t>
            </w:r>
          </w:p>
        </w:tc>
        <w:tc>
          <w:tcPr>
            <w:tcW w:type="dxa" w:w="1881"/>
          </w:tcPr>
          <w:p>
            <w:r/>
            <w:r>
              <w:rPr>
                <w:rFonts w:ascii="Calibri" w:hAnsi="Calibri"/>
                <w:sz w:val="20"/>
              </w:rPr>
              <w:t>8 hours</w:t>
            </w:r>
          </w:p>
        </w:tc>
      </w:tr>
      <w:tr>
        <w:tc>
          <w:tcPr>
            <w:tcW w:type="dxa" w:w="1881"/>
          </w:tcPr>
          <w:p>
            <w:r/>
            <w:r>
              <w:rPr>
                <w:rFonts w:ascii="Calibri" w:hAnsi="Calibri"/>
                <w:sz w:val="20"/>
              </w:rPr>
              <w:t>SEV-3 (Medium)</w:t>
            </w:r>
          </w:p>
        </w:tc>
        <w:tc>
          <w:tcPr>
            <w:tcW w:type="dxa" w:w="1881"/>
          </w:tcPr>
          <w:p>
            <w:r/>
            <w:r>
              <w:rPr>
                <w:rFonts w:ascii="Calibri" w:hAnsi="Calibri"/>
                <w:sz w:val="20"/>
              </w:rPr>
              <w:t>Non-critical feature issue; limited user impact</w:t>
            </w:r>
          </w:p>
        </w:tc>
        <w:tc>
          <w:tcPr>
            <w:tcW w:type="dxa" w:w="1881"/>
          </w:tcPr>
          <w:p>
            <w:r/>
            <w:r>
              <w:rPr>
                <w:rFonts w:ascii="Calibri" w:hAnsi="Calibri"/>
                <w:sz w:val="20"/>
              </w:rPr>
              <w:t>UI glitch; minor calculation error; slow performance on one page</w:t>
            </w:r>
          </w:p>
        </w:tc>
        <w:tc>
          <w:tcPr>
            <w:tcW w:type="dxa" w:w="1881"/>
          </w:tcPr>
          <w:p>
            <w:r/>
            <w:r>
              <w:rPr>
                <w:rFonts w:ascii="Calibri" w:hAnsi="Calibri"/>
                <w:sz w:val="20"/>
              </w:rPr>
              <w:t>4 hours</w:t>
            </w:r>
          </w:p>
        </w:tc>
        <w:tc>
          <w:tcPr>
            <w:tcW w:type="dxa" w:w="1881"/>
          </w:tcPr>
          <w:p>
            <w:r/>
            <w:r>
              <w:rPr>
                <w:rFonts w:ascii="Calibri" w:hAnsi="Calibri"/>
                <w:sz w:val="20"/>
              </w:rPr>
              <w:t>3 business days</w:t>
            </w:r>
          </w:p>
        </w:tc>
      </w:tr>
      <w:tr>
        <w:tc>
          <w:tcPr>
            <w:tcW w:type="dxa" w:w="1881"/>
          </w:tcPr>
          <w:p>
            <w:r/>
            <w:r>
              <w:rPr>
                <w:rFonts w:ascii="Calibri" w:hAnsi="Calibri"/>
                <w:sz w:val="20"/>
              </w:rPr>
              <w:t>SEV-4 (Low)</w:t>
            </w:r>
          </w:p>
        </w:tc>
        <w:tc>
          <w:tcPr>
            <w:tcW w:type="dxa" w:w="1881"/>
          </w:tcPr>
          <w:p>
            <w:r/>
            <w:r>
              <w:rPr>
                <w:rFonts w:ascii="Calibri" w:hAnsi="Calibri"/>
                <w:sz w:val="20"/>
              </w:rPr>
              <w:t>Cosmetic issue; feature request; how-to question</w:t>
            </w:r>
          </w:p>
        </w:tc>
        <w:tc>
          <w:tcPr>
            <w:tcW w:type="dxa" w:w="1881"/>
          </w:tcPr>
          <w:p>
            <w:r/>
            <w:r>
              <w:rPr>
                <w:rFonts w:ascii="Calibri" w:hAnsi="Calibri"/>
                <w:sz w:val="20"/>
              </w:rPr>
              <w:t>Typo in UI; color mismatch; enhancement suggestion</w:t>
            </w:r>
          </w:p>
        </w:tc>
        <w:tc>
          <w:tcPr>
            <w:tcW w:type="dxa" w:w="1881"/>
          </w:tcPr>
          <w:p>
            <w:r/>
            <w:r>
              <w:rPr>
                <w:rFonts w:ascii="Calibri" w:hAnsi="Calibri"/>
                <w:sz w:val="20"/>
              </w:rPr>
              <w:t>1 business day</w:t>
            </w:r>
          </w:p>
        </w:tc>
        <w:tc>
          <w:tcPr>
            <w:tcW w:type="dxa" w:w="1881"/>
          </w:tcPr>
          <w:p>
            <w:r/>
            <w:r>
              <w:rPr>
                <w:rFonts w:ascii="Calibri" w:hAnsi="Calibri"/>
                <w:sz w:val="20"/>
              </w:rPr>
              <w:t>Next release cycle</w:t>
            </w:r>
          </w:p>
        </w:tc>
      </w:tr>
    </w:tbl>
    <w:p/>
    <w:p>
      <w:pPr>
        <w:pStyle w:val="Heading2"/>
      </w:pPr>
      <w:r>
        <w:rPr>
          <w:rFonts w:ascii="Calibri" w:hAnsi="Calibri"/>
          <w:color w:val="1A3A5C"/>
        </w:rPr>
        <w:t>4. Procedure</w:t>
      </w:r>
    </w:p>
    <w:p>
      <w:r>
        <w:rPr>
          <w:rFonts w:ascii="Calibri" w:hAnsi="Calibri"/>
          <w:b/>
          <w:i w:val="0"/>
          <w:sz w:val="20"/>
        </w:rPr>
        <w:t>4.1 Triage (Level 1 -- Frontline Support)</w:t>
      </w:r>
    </w:p>
    <w:p>
      <w:r>
        <w:rPr>
          <w:rFonts w:ascii="Calibri" w:hAnsi="Calibri"/>
          <w:b w:val="0"/>
          <w:i w:val="0"/>
          <w:sz w:val="20"/>
        </w:rPr>
        <w:t xml:space="preserve">  1. When a ticket arrives (any channel), acknowledge receipt within the First Response SLA for the assigned severity.</w:t>
      </w:r>
    </w:p>
    <w:p>
      <w:r>
        <w:rPr>
          <w:rFonts w:ascii="Calibri" w:hAnsi="Calibri"/>
          <w:b w:val="0"/>
          <w:i w:val="0"/>
          <w:sz w:val="20"/>
        </w:rPr>
        <w:t xml:space="preserve">  2. Classify the severity using the table above. When in doubt, classify UP (e.g., if unsure between SEV-2 and SEV-3, classify as SEV-2).</w:t>
      </w:r>
    </w:p>
    <w:p>
      <w:r>
        <w:rPr>
          <w:rFonts w:ascii="Calibri" w:hAnsi="Calibri"/>
          <w:b w:val="0"/>
          <w:i w:val="0"/>
          <w:sz w:val="20"/>
        </w:rPr>
        <w:t xml:space="preserve">  3. Gather essential information: customer name, account ID, what they were trying to do, what happened instead, error messages or screenshots, browser/device/OS, and time of occurrence.</w:t>
      </w:r>
    </w:p>
    <w:p>
      <w:r>
        <w:rPr>
          <w:rFonts w:ascii="Calibri" w:hAnsi="Calibri"/>
          <w:b w:val="0"/>
          <w:i w:val="0"/>
          <w:sz w:val="20"/>
        </w:rPr>
        <w:t xml:space="preserve">  4. Check the Known Issues list and recent release notes. IF the issue matches a known issue, provide the documented workaround and ETA for fix.</w:t>
      </w:r>
    </w:p>
    <w:p>
      <w:r>
        <w:rPr>
          <w:rFonts w:ascii="Calibri" w:hAnsi="Calibri"/>
          <w:b w:val="0"/>
          <w:i w:val="0"/>
          <w:sz w:val="20"/>
        </w:rPr>
        <w:t xml:space="preserve">  5. Attempt basic troubleshooting: clear cache, different browser, verify permissions, check service status page.</w:t>
      </w:r>
    </w:p>
    <w:p>
      <w:r>
        <w:rPr>
          <w:rFonts w:ascii="Calibri" w:hAnsi="Calibri"/>
          <w:b w:val="0"/>
          <w:i w:val="0"/>
          <w:sz w:val="20"/>
        </w:rPr>
        <w:t xml:space="preserve">  6. IF resolved: document the solution, update the knowledge base if it is a new pattern, and close the ticket.</w:t>
      </w:r>
    </w:p>
    <w:p>
      <w:r>
        <w:rPr>
          <w:rFonts w:ascii="Calibri" w:hAnsi="Calibri"/>
          <w:b w:val="0"/>
          <w:i w:val="0"/>
          <w:sz w:val="20"/>
        </w:rPr>
        <w:t xml:space="preserve">  7. IF NOT resolved within 30 minutes (SEV-1/2) or 2 hours (SEV-3/4): escalate to Level 2.</w:t>
      </w:r>
    </w:p>
    <w:p>
      <w:r>
        <w:rPr>
          <w:rFonts w:ascii="Calibri" w:hAnsi="Calibri"/>
          <w:b/>
          <w:i w:val="0"/>
          <w:sz w:val="20"/>
        </w:rPr>
        <w:t>4.2 Investigation (Level 2 -- Senior Support / Technical Support)</w:t>
      </w:r>
    </w:p>
    <w:p>
      <w:r>
        <w:rPr>
          <w:rFonts w:ascii="Calibri" w:hAnsi="Calibri"/>
          <w:b w:val="0"/>
          <w:i w:val="0"/>
          <w:sz w:val="20"/>
        </w:rPr>
        <w:t xml:space="preserve">  1. Review the ticket history from Level 1. Do NOT ask the customer to re-explain the issue.</w:t>
      </w:r>
    </w:p>
    <w:p>
      <w:r>
        <w:rPr>
          <w:rFonts w:ascii="Calibri" w:hAnsi="Calibri"/>
          <w:b w:val="0"/>
          <w:i w:val="0"/>
          <w:sz w:val="20"/>
        </w:rPr>
        <w:t xml:space="preserve">  2. Reproduce the issue in the staging environment if possible. Document reproduction steps.</w:t>
      </w:r>
    </w:p>
    <w:p>
      <w:r>
        <w:rPr>
          <w:rFonts w:ascii="Calibri" w:hAnsi="Calibri"/>
          <w:b w:val="0"/>
          <w:i w:val="0"/>
          <w:sz w:val="20"/>
        </w:rPr>
        <w:t xml:space="preserve">  3. Check application logs, error tracking (Sentry/Datadog/etc.), and database for anomalies.</w:t>
      </w:r>
    </w:p>
    <w:p>
      <w:r>
        <w:rPr>
          <w:rFonts w:ascii="Calibri" w:hAnsi="Calibri"/>
          <w:b w:val="0"/>
          <w:i w:val="0"/>
          <w:sz w:val="20"/>
        </w:rPr>
        <w:t xml:space="preserve">  4. IF the issue is a configuration or data issue: resolve directly and document the fix.</w:t>
      </w:r>
    </w:p>
    <w:p>
      <w:r>
        <w:rPr>
          <w:rFonts w:ascii="Calibri" w:hAnsi="Calibri"/>
          <w:b w:val="0"/>
          <w:i w:val="0"/>
          <w:sz w:val="20"/>
        </w:rPr>
        <w:t xml:space="preserve">  5. IF the issue requires a code change or is a confirmed bug: escalate to Level 3 (Engineering) with a detailed bug report.</w:t>
      </w:r>
    </w:p>
    <w:p>
      <w:r>
        <w:rPr>
          <w:rFonts w:ascii="Calibri" w:hAnsi="Calibri"/>
          <w:b w:val="0"/>
          <w:i w:val="0"/>
          <w:sz w:val="20"/>
        </w:rPr>
        <w:t xml:space="preserve">  6. Update the customer at least every 2 hours for SEV-1, every 4 hours for SEV-2, and daily for SEV-3.</w:t>
      </w:r>
    </w:p>
    <w:p>
      <w:r>
        <w:rPr>
          <w:rFonts w:ascii="Calibri" w:hAnsi="Calibri"/>
          <w:b/>
          <w:i w:val="0"/>
          <w:sz w:val="20"/>
        </w:rPr>
        <w:t>4.3 Engineering Resolution (Level 3)</w:t>
      </w:r>
    </w:p>
    <w:p>
      <w:r>
        <w:rPr>
          <w:rFonts w:ascii="Calibri" w:hAnsi="Calibri"/>
          <w:b w:val="0"/>
          <w:i w:val="0"/>
          <w:sz w:val="20"/>
        </w:rPr>
        <w:t xml:space="preserve">  1. Engineering receives the bug report with: reproduction steps, affected customers, severity, and logs.</w:t>
      </w:r>
    </w:p>
    <w:p>
      <w:r>
        <w:rPr>
          <w:rFonts w:ascii="Calibri" w:hAnsi="Calibri"/>
          <w:b w:val="0"/>
          <w:i w:val="0"/>
          <w:sz w:val="20"/>
        </w:rPr>
        <w:t xml:space="preserve">  2. For SEV-1: drop current work immediately. Assemble a war room (dedicated Slack channel or video call).</w:t>
      </w:r>
    </w:p>
    <w:p>
      <w:r>
        <w:rPr>
          <w:rFonts w:ascii="Calibri" w:hAnsi="Calibri"/>
          <w:b w:val="0"/>
          <w:i w:val="0"/>
          <w:sz w:val="20"/>
        </w:rPr>
        <w:t xml:space="preserve">  3. Identify the root cause. Determine whether a hotfix or workaround is the fastest path to resolution.</w:t>
      </w:r>
    </w:p>
    <w:p>
      <w:r>
        <w:rPr>
          <w:rFonts w:ascii="Calibri" w:hAnsi="Calibri"/>
          <w:b w:val="0"/>
          <w:i w:val="0"/>
          <w:sz w:val="20"/>
        </w:rPr>
        <w:t xml:space="preserve">  4. Develop, test, and deploy the fix following SOP-TECH-001 (expedited process for hotfixes: skip staging for SEV-1 if VP Engineering approves, but require post-deploy monitoring).</w:t>
      </w:r>
    </w:p>
    <w:p>
      <w:r>
        <w:rPr>
          <w:rFonts w:ascii="Calibri" w:hAnsi="Calibri"/>
          <w:b w:val="0"/>
          <w:i w:val="0"/>
          <w:sz w:val="20"/>
        </w:rPr>
        <w:t xml:space="preserve">  5. After resolution: update the ticket with root cause, fix applied, and steps to prevent recurrence.</w:t>
      </w:r>
    </w:p>
    <w:p>
      <w:r>
        <w:rPr>
          <w:rFonts w:ascii="Calibri" w:hAnsi="Calibri"/>
          <w:b w:val="0"/>
          <w:i w:val="0"/>
          <w:sz w:val="20"/>
        </w:rPr>
        <w:t xml:space="preserve">  6. For SEV-1 and SEV-2: schedule a post-incident review within 48 hours (see SOP-TECH-003).</w:t>
      </w:r>
    </w:p>
    <w:p>
      <w:r>
        <w:rPr>
          <w:rFonts w:ascii="Calibri" w:hAnsi="Calibri"/>
          <w:b/>
          <w:i w:val="0"/>
          <w:sz w:val="20"/>
        </w:rPr>
        <w:t>4.4 Resolution Documentation</w:t>
      </w:r>
    </w:p>
    <w:p>
      <w:r>
        <w:rPr>
          <w:rFonts w:ascii="Calibri" w:hAnsi="Calibri"/>
          <w:b w:val="0"/>
          <w:i w:val="0"/>
          <w:sz w:val="20"/>
        </w:rPr>
        <w:t xml:space="preserve">  1. Document the complete resolution in the ticketing system: root cause, actions taken, fix deployed, and customer communication.</w:t>
      </w:r>
    </w:p>
    <w:p>
      <w:r>
        <w:rPr>
          <w:rFonts w:ascii="Calibri" w:hAnsi="Calibri"/>
          <w:b w:val="0"/>
          <w:i w:val="0"/>
          <w:sz w:val="20"/>
        </w:rPr>
        <w:t xml:space="preserve">  2. IF this is a new issue pattern: create or update a knowledge base article.</w:t>
      </w:r>
    </w:p>
    <w:p>
      <w:r>
        <w:rPr>
          <w:rFonts w:ascii="Calibri" w:hAnsi="Calibri"/>
          <w:b w:val="0"/>
          <w:i w:val="0"/>
          <w:sz w:val="20"/>
        </w:rPr>
        <w:t xml:space="preserve">  3. IF the issue required engineering escalation: create a bug ticket with severity, frequency, and resolution for trend analysis.</w:t>
      </w:r>
    </w:p>
    <w:p>
      <w:r>
        <w:rPr>
          <w:rFonts w:ascii="Calibri" w:hAnsi="Calibri"/>
          <w:b w:val="0"/>
          <w:i w:val="0"/>
          <w:sz w:val="20"/>
        </w:rPr>
        <w:t xml:space="preserve">  4. Notify the customer that the issue is resolved. Confirm they can verify on their end.</w:t>
      </w:r>
    </w:p>
    <w:p>
      <w:r>
        <w:rPr>
          <w:rFonts w:ascii="Calibri" w:hAnsi="Calibri"/>
          <w:b w:val="0"/>
          <w:i w:val="0"/>
          <w:sz w:val="20"/>
        </w:rPr>
        <w:t xml:space="preserve">  5. Close the ticket only after customer confirms resolution or after 5 business days of no response to the resolution notification.</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SOP-TECH-003: Incident Response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SOP-TECH-003</w:t>
            </w:r>
          </w:p>
        </w:tc>
      </w:tr>
      <w:tr>
        <w:tc>
          <w:tcPr>
            <w:tcW w:type="dxa" w:w="4703"/>
          </w:tcPr>
          <w:p>
            <w:r/>
            <w:r>
              <w:rPr>
                <w:rFonts w:ascii="Calibri" w:hAnsi="Calibri"/>
                <w:b/>
                <w:sz w:val="20"/>
              </w:rPr>
              <w:t>Title</w:t>
            </w:r>
          </w:p>
        </w:tc>
        <w:tc>
          <w:tcPr>
            <w:tcW w:type="dxa" w:w="4703"/>
          </w:tcPr>
          <w:p>
            <w:r/>
            <w:r>
              <w:rPr>
                <w:rFonts w:ascii="Calibri" w:hAnsi="Calibri"/>
                <w:sz w:val="20"/>
              </w:rPr>
              <w:t>Incident Response</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Engineering / IT Security / Operations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the end-to-end process for detecting, assessing, containing, communicating, resolving, and learning from production incidents, including both service outages and security incidents.</w:t>
      </w:r>
    </w:p>
    <w:p>
      <w:pPr>
        <w:pStyle w:val="Heading2"/>
      </w:pPr>
      <w:r>
        <w:rPr>
          <w:rFonts w:ascii="Calibri" w:hAnsi="Calibri"/>
          <w:color w:val="1A3A5C"/>
        </w:rPr>
        <w:t>2. Scope</w:t>
      </w:r>
    </w:p>
    <w:p>
      <w:r>
        <w:rPr>
          <w:rFonts w:ascii="Calibri" w:hAnsi="Calibri"/>
          <w:b w:val="0"/>
          <w:i w:val="0"/>
          <w:sz w:val="20"/>
        </w:rPr>
        <w:t>This SOP applies to all production service disruptions, security incidents, data breaches, and near-miss events affecting the company's SaaS platform, internal systems, or customer data.</w:t>
      </w:r>
    </w:p>
    <w:p>
      <w:pPr>
        <w:pStyle w:val="Heading2"/>
      </w:pPr>
      <w:r>
        <w:rPr>
          <w:rFonts w:ascii="Calibri" w:hAnsi="Calibri"/>
          <w:color w:val="1A3A5C"/>
        </w:rPr>
        <w:t>3. Procedure</w:t>
      </w:r>
    </w:p>
    <w:p>
      <w:r>
        <w:rPr>
          <w:rFonts w:ascii="Calibri" w:hAnsi="Calibri"/>
          <w:b/>
          <w:i w:val="0"/>
          <w:sz w:val="20"/>
        </w:rPr>
        <w:t>3.1 Detection &amp; Declaration</w:t>
      </w:r>
    </w:p>
    <w:p>
      <w:r>
        <w:rPr>
          <w:rFonts w:ascii="Calibri" w:hAnsi="Calibri"/>
          <w:b w:val="0"/>
          <w:i w:val="0"/>
          <w:sz w:val="20"/>
        </w:rPr>
        <w:t xml:space="preserve">  1. Incidents can be detected via: automated monitoring alerts (PagerDuty, Datadog, CloudWatch), customer reports, internal team discovery, or security scanning tools.</w:t>
      </w:r>
    </w:p>
    <w:p>
      <w:r>
        <w:rPr>
          <w:rFonts w:ascii="Calibri" w:hAnsi="Calibri"/>
          <w:b w:val="0"/>
          <w:i w:val="0"/>
          <w:sz w:val="20"/>
        </w:rPr>
        <w:t xml:space="preserve">  2. The first person to identify a potential incident declares it by creating an incident in the incident management tool and posting in the #incidents Slack channel.</w:t>
      </w:r>
    </w:p>
    <w:p>
      <w:r>
        <w:rPr>
          <w:rFonts w:ascii="Calibri" w:hAnsi="Calibri"/>
          <w:b w:val="0"/>
          <w:i w:val="0"/>
          <w:sz w:val="20"/>
        </w:rPr>
        <w:t xml:space="preserve">  3. Assign an Incident Commander (IC). For SEV-1: the on-call engineering lead becomes IC automatically. For SEV-2/3: the declaring engineer serves as IC unless they request reassignment.</w:t>
      </w:r>
    </w:p>
    <w:p>
      <w:r>
        <w:rPr>
          <w:rFonts w:ascii="Calibri" w:hAnsi="Calibri"/>
          <w:b w:val="0"/>
          <w:i w:val="0"/>
          <w:sz w:val="20"/>
        </w:rPr>
        <w:t xml:space="preserve">  4. The IC assigns roles: Communications Lead (customer and internal updates), Technical Lead (debugging and fix), and Scribe (documentation).</w:t>
      </w:r>
    </w:p>
    <w:p>
      <w:r>
        <w:rPr>
          <w:rFonts w:ascii="Calibri" w:hAnsi="Calibri"/>
          <w:b/>
          <w:i w:val="0"/>
          <w:sz w:val="20"/>
        </w:rPr>
        <w:t>3.2 Assessment</w:t>
      </w:r>
    </w:p>
    <w:p>
      <w:r>
        <w:rPr>
          <w:rFonts w:ascii="Calibri" w:hAnsi="Calibri"/>
          <w:b w:val="0"/>
          <w:i w:val="0"/>
          <w:sz w:val="20"/>
        </w:rPr>
        <w:t xml:space="preserve">  1. The IC assesses severity using the Customer Support Escalation severity matrix (SOP-TECH-002, Section 3).</w:t>
      </w:r>
    </w:p>
    <w:p>
      <w:r>
        <w:rPr>
          <w:rFonts w:ascii="Calibri" w:hAnsi="Calibri"/>
          <w:b w:val="0"/>
          <w:i w:val="0"/>
          <w:sz w:val="20"/>
        </w:rPr>
        <w:t xml:space="preserve">  2. Determine blast radius: how many customers are affected? Which services or features are impacted?</w:t>
      </w:r>
    </w:p>
    <w:p>
      <w:r>
        <w:rPr>
          <w:rFonts w:ascii="Calibri" w:hAnsi="Calibri"/>
          <w:b w:val="0"/>
          <w:i w:val="0"/>
          <w:sz w:val="20"/>
        </w:rPr>
        <w:t xml:space="preserve">  3. Identify the timeline: when did the issue start? Is it ongoing or intermittent?</w:t>
      </w:r>
    </w:p>
    <w:p>
      <w:r>
        <w:rPr>
          <w:rFonts w:ascii="Calibri" w:hAnsi="Calibri"/>
          <w:b w:val="0"/>
          <w:i w:val="0"/>
          <w:sz w:val="20"/>
        </w:rPr>
        <w:t xml:space="preserve">  4. Assess data impact: is customer data at risk of loss, corruption, or unauthorized access?</w:t>
      </w:r>
    </w:p>
    <w:p>
      <w:r>
        <w:rPr>
          <w:rFonts w:ascii="Calibri" w:hAnsi="Calibri"/>
          <w:b w:val="0"/>
          <w:i w:val="0"/>
          <w:sz w:val="20"/>
        </w:rPr>
        <w:t xml:space="preserve">  5. IF data breach is suspected: escalate immediately to the Privacy Officer and Legal (see SOP-PS-005 for breach reporting).</w:t>
      </w:r>
    </w:p>
    <w:p>
      <w:r>
        <w:rPr>
          <w:rFonts w:ascii="Calibri" w:hAnsi="Calibri"/>
          <w:b/>
          <w:i w:val="0"/>
          <w:sz w:val="20"/>
        </w:rPr>
        <w:t>3.3 Containment</w:t>
      </w:r>
    </w:p>
    <w:p>
      <w:r>
        <w:rPr>
          <w:rFonts w:ascii="Calibri" w:hAnsi="Calibri"/>
          <w:b w:val="0"/>
          <w:i w:val="0"/>
          <w:sz w:val="20"/>
        </w:rPr>
        <w:t xml:space="preserve">  1. Implement immediate containment actions to stop the bleeding. Examples: rollback deployment, disable affected feature via feature flag, scale up infrastructure, block malicious IP addresses.</w:t>
      </w:r>
    </w:p>
    <w:p>
      <w:r>
        <w:rPr>
          <w:rFonts w:ascii="Calibri" w:hAnsi="Calibri"/>
          <w:b w:val="0"/>
          <w:i w:val="0"/>
          <w:sz w:val="20"/>
        </w:rPr>
        <w:t xml:space="preserve">  2. IF the issue is caused by a recent deployment: execute rollback per SOP-TECH-001, Section 4.5.</w:t>
      </w:r>
    </w:p>
    <w:p>
      <w:r>
        <w:rPr>
          <w:rFonts w:ascii="Calibri" w:hAnsi="Calibri"/>
          <w:b w:val="0"/>
          <w:i w:val="0"/>
          <w:sz w:val="20"/>
        </w:rPr>
        <w:t xml:space="preserve">  3. IF the issue is a security incident: isolate affected systems, revoke compromised credentials, preserve forensic evidence (do NOT delete logs).</w:t>
      </w:r>
    </w:p>
    <w:p>
      <w:r>
        <w:rPr>
          <w:rFonts w:ascii="Calibri" w:hAnsi="Calibri"/>
          <w:b w:val="0"/>
          <w:i w:val="0"/>
          <w:sz w:val="20"/>
        </w:rPr>
        <w:t xml:space="preserve">  4. Communicate containment status to stakeholders: 'Incident [ID] contained. Root cause investigation in progress. [Service] is [status].'</w:t>
      </w:r>
    </w:p>
    <w:p>
      <w:r>
        <w:rPr>
          <w:rFonts w:ascii="Calibri" w:hAnsi="Calibri"/>
          <w:b/>
          <w:i w:val="0"/>
          <w:sz w:val="20"/>
        </w:rPr>
        <w:t>3.4 Communication</w:t>
      </w:r>
    </w:p>
    <w:p>
      <w:r>
        <w:rPr>
          <w:rFonts w:ascii="Calibri" w:hAnsi="Calibri"/>
          <w:b w:val="0"/>
          <w:i w:val="0"/>
          <w:sz w:val="20"/>
        </w:rPr>
        <w:t xml:space="preserve">  1. Communications Lead updates the public status page within 15 minutes of SEV-1 declaration, 30 minutes for SEV-2.</w:t>
      </w:r>
    </w:p>
    <w:p>
      <w:r>
        <w:rPr>
          <w:rFonts w:ascii="Calibri" w:hAnsi="Calibri"/>
          <w:b w:val="0"/>
          <w:i w:val="0"/>
          <w:sz w:val="20"/>
        </w:rPr>
        <w:t xml:space="preserve">  2. For SEV-1: send proactive email to all affected customers within 30 minutes. Template: 'We are aware of an issue affecting [service]. Our team is actively working on resolution. We will provide updates every [30 minutes]. We apologize for the disruption.'</w:t>
      </w:r>
    </w:p>
    <w:p>
      <w:r>
        <w:rPr>
          <w:rFonts w:ascii="Calibri" w:hAnsi="Calibri"/>
          <w:b w:val="0"/>
          <w:i w:val="0"/>
          <w:sz w:val="20"/>
        </w:rPr>
        <w:t xml:space="preserve">  3. Post internal updates in #incidents every 30 minutes (SEV-1) or every hour (SEV-2).</w:t>
      </w:r>
    </w:p>
    <w:p>
      <w:r>
        <w:rPr>
          <w:rFonts w:ascii="Calibri" w:hAnsi="Calibri"/>
          <w:b w:val="0"/>
          <w:i w:val="0"/>
          <w:sz w:val="20"/>
        </w:rPr>
        <w:t xml:space="preserve">  4. Notify executive leadership for SEV-1 incidents within 15 minutes.</w:t>
      </w:r>
    </w:p>
    <w:p>
      <w:r>
        <w:rPr>
          <w:rFonts w:ascii="Calibri" w:hAnsi="Calibri"/>
          <w:b w:val="0"/>
          <w:i w:val="0"/>
          <w:sz w:val="20"/>
        </w:rPr>
        <w:t xml:space="preserve">  5. When the incident is resolved, send an all-clear to customers and update the status page.</w:t>
      </w:r>
    </w:p>
    <w:p>
      <w:r>
        <w:rPr>
          <w:rFonts w:ascii="Calibri" w:hAnsi="Calibri"/>
          <w:b/>
          <w:i w:val="0"/>
          <w:sz w:val="20"/>
        </w:rPr>
        <w:t>3.5 Resolution</w:t>
      </w:r>
    </w:p>
    <w:p>
      <w:r>
        <w:rPr>
          <w:rFonts w:ascii="Calibri" w:hAnsi="Calibri"/>
          <w:b w:val="0"/>
          <w:i w:val="0"/>
          <w:sz w:val="20"/>
        </w:rPr>
        <w:t xml:space="preserve">  1. Technical Lead identifies and implements the permanent fix (or confirms containment is sufficient pending a permanent fix in the next release).</w:t>
      </w:r>
    </w:p>
    <w:p>
      <w:r>
        <w:rPr>
          <w:rFonts w:ascii="Calibri" w:hAnsi="Calibri"/>
          <w:b w:val="0"/>
          <w:i w:val="0"/>
          <w:sz w:val="20"/>
        </w:rPr>
        <w:t xml:space="preserve">  2. Verify the fix in staging (if time permits) or via canary deployment in production.</w:t>
      </w:r>
    </w:p>
    <w:p>
      <w:r>
        <w:rPr>
          <w:rFonts w:ascii="Calibri" w:hAnsi="Calibri"/>
          <w:b w:val="0"/>
          <w:i w:val="0"/>
          <w:sz w:val="20"/>
        </w:rPr>
        <w:t xml:space="preserve">  3. Monitor for 30 minutes post-fix to confirm stability.</w:t>
      </w:r>
    </w:p>
    <w:p>
      <w:r>
        <w:rPr>
          <w:rFonts w:ascii="Calibri" w:hAnsi="Calibri"/>
          <w:b w:val="0"/>
          <w:i w:val="0"/>
          <w:sz w:val="20"/>
        </w:rPr>
        <w:t xml:space="preserve">  4. IC declares the incident resolved. Communications Lead sends the all-clear.</w:t>
      </w:r>
    </w:p>
    <w:p>
      <w:r>
        <w:rPr>
          <w:rFonts w:ascii="Calibri" w:hAnsi="Calibri"/>
          <w:b w:val="0"/>
          <w:i w:val="0"/>
          <w:sz w:val="20"/>
        </w:rPr>
        <w:t xml:space="preserve">  5. Scribe compiles the incident timeline: detection time, declaration time, containment time, resolution time, and total downtime.</w:t>
      </w:r>
    </w:p>
    <w:p>
      <w:r>
        <w:rPr>
          <w:rFonts w:ascii="Calibri" w:hAnsi="Calibri"/>
          <w:b/>
          <w:i w:val="0"/>
          <w:sz w:val="20"/>
        </w:rPr>
        <w:t>3.6 Post-Incident Review (Blameless Retrospective)</w:t>
      </w:r>
    </w:p>
    <w:p>
      <w:r>
        <w:rPr>
          <w:rFonts w:ascii="Calibri" w:hAnsi="Calibri"/>
          <w:b w:val="0"/>
          <w:i w:val="0"/>
          <w:sz w:val="20"/>
        </w:rPr>
        <w:t xml:space="preserve">  1. Schedule a post-incident review within 48 hours for SEV-1 and SEV-2 incidents. SEV-3 incidents are reviewed weekly in the engineering standup.</w:t>
      </w:r>
    </w:p>
    <w:p>
      <w:r>
        <w:rPr>
          <w:rFonts w:ascii="Calibri" w:hAnsi="Calibri"/>
          <w:b w:val="0"/>
          <w:i w:val="0"/>
          <w:sz w:val="20"/>
        </w:rPr>
        <w:t xml:space="preserve">  2. The review is BLAMELESS. Focus on systems and processes, not individuals. 'What failed?' not 'Who failed?'</w:t>
      </w:r>
    </w:p>
    <w:p>
      <w:r>
        <w:rPr>
          <w:rFonts w:ascii="Calibri" w:hAnsi="Calibri"/>
          <w:b w:val="0"/>
          <w:i w:val="0"/>
          <w:sz w:val="20"/>
        </w:rPr>
        <w:t xml:space="preserve">  3. Structure the review: What happened? (timeline) | What went well? (effective responses) | What did not go well? (gaps, delays) | What are the action items? (prevent recurrence).</w:t>
      </w:r>
    </w:p>
    <w:p>
      <w:r>
        <w:rPr>
          <w:rFonts w:ascii="Calibri" w:hAnsi="Calibri"/>
          <w:b w:val="0"/>
          <w:i w:val="0"/>
          <w:sz w:val="20"/>
        </w:rPr>
        <w:t xml:space="preserve">  4. Document the review in the Post-Incident Report template (Form ENG-005). Include: root cause, contributing factors, timeline, impact, and action items with owners and due dates.</w:t>
      </w:r>
    </w:p>
    <w:p>
      <w:r>
        <w:rPr>
          <w:rFonts w:ascii="Calibri" w:hAnsi="Calibri"/>
          <w:b w:val="0"/>
          <w:i w:val="0"/>
          <w:sz w:val="20"/>
        </w:rPr>
        <w:t xml:space="preserve">  5. Publish the report to the engineering team. For customer-impacting incidents, publish an external post-mortem (approved by VP Engineering and Communications).</w:t>
      </w:r>
    </w:p>
    <w:p>
      <w:r>
        <w:rPr>
          <w:rFonts w:ascii="Calibri" w:hAnsi="Calibri"/>
          <w:b w:val="0"/>
          <w:i w:val="0"/>
          <w:sz w:val="20"/>
        </w:rPr>
        <w:t xml:space="preserve">  6. Track action items to completion. Review open incident action items in the weekly engineering meeting.</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SOP-TECH-004: User Access Management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SOP-TECH-004</w:t>
            </w:r>
          </w:p>
        </w:tc>
      </w:tr>
      <w:tr>
        <w:tc>
          <w:tcPr>
            <w:tcW w:type="dxa" w:w="4703"/>
          </w:tcPr>
          <w:p>
            <w:r/>
            <w:r>
              <w:rPr>
                <w:rFonts w:ascii="Calibri" w:hAnsi="Calibri"/>
                <w:b/>
                <w:sz w:val="20"/>
              </w:rPr>
              <w:t>Title</w:t>
            </w:r>
          </w:p>
        </w:tc>
        <w:tc>
          <w:tcPr>
            <w:tcW w:type="dxa" w:w="4703"/>
          </w:tcPr>
          <w:p>
            <w:r/>
            <w:r>
              <w:rPr>
                <w:rFonts w:ascii="Calibri" w:hAnsi="Calibri"/>
                <w:sz w:val="20"/>
              </w:rPr>
              <w:t>User Access Management</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IT / Human Resources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the procedures for granting, modifying, and revoking user access to company systems, applications, and data to ensure the principle of least privilege is enforced and access is aligned with job responsibilities.</w:t>
      </w:r>
    </w:p>
    <w:p>
      <w:pPr>
        <w:pStyle w:val="Heading2"/>
      </w:pPr>
      <w:r>
        <w:rPr>
          <w:rFonts w:ascii="Calibri" w:hAnsi="Calibri"/>
          <w:color w:val="1A3A5C"/>
        </w:rPr>
        <w:t>2. Scope</w:t>
      </w:r>
    </w:p>
    <w:p>
      <w:r>
        <w:rPr>
          <w:rFonts w:ascii="Calibri" w:hAnsi="Calibri"/>
          <w:b w:val="0"/>
          <w:i w:val="0"/>
          <w:sz w:val="20"/>
        </w:rPr>
        <w:t>This SOP applies to all employees, contractors, temporary staff, and third-party vendors who require access to company systems. It covers all applications (SaaS tools, internal platforms, cloud infrastructure, source code repositories, and communication tools).</w:t>
      </w:r>
    </w:p>
    <w:p>
      <w:pPr>
        <w:pStyle w:val="Heading2"/>
      </w:pPr>
      <w:r>
        <w:rPr>
          <w:rFonts w:ascii="Calibri" w:hAnsi="Calibri"/>
          <w:color w:val="1A3A5C"/>
        </w:rPr>
        <w:t>3. Procedure</w:t>
      </w:r>
    </w:p>
    <w:p>
      <w:r>
        <w:rPr>
          <w:rFonts w:ascii="Calibri" w:hAnsi="Calibri"/>
          <w:b/>
          <w:i w:val="0"/>
          <w:sz w:val="20"/>
        </w:rPr>
        <w:t>3.1 Onboarding Access Grants (New Hire / New Contractor)</w:t>
      </w:r>
    </w:p>
    <w:p>
      <w:r>
        <w:rPr>
          <w:rFonts w:ascii="Calibri" w:hAnsi="Calibri"/>
          <w:b w:val="0"/>
          <w:i w:val="0"/>
          <w:sz w:val="20"/>
        </w:rPr>
        <w:t xml:space="preserve">  1. HR submits the Access Request Form (Form IT-001) at least 3 business days before the new hire's start date. Include: name, role, department, manager, start date, and systems required.</w:t>
      </w:r>
    </w:p>
    <w:p>
      <w:r>
        <w:rPr>
          <w:rFonts w:ascii="Calibri" w:hAnsi="Calibri"/>
          <w:b w:val="0"/>
          <w:i w:val="0"/>
          <w:sz w:val="20"/>
        </w:rPr>
        <w:t xml:space="preserve">  2. IT cross-references the request against the Role-Based Access Control (RBAC) matrix to determine the standard access package for the role.</w:t>
      </w:r>
    </w:p>
    <w:p>
      <w:r>
        <w:rPr>
          <w:rFonts w:ascii="Calibri" w:hAnsi="Calibri"/>
          <w:b w:val="0"/>
          <w:i w:val="0"/>
          <w:sz w:val="20"/>
        </w:rPr>
        <w:t xml:space="preserve">  3. Provision accounts in the Identity Provider (IdP): create the user account, assign to the appropriate security groups, and enable MFA (multi-factor authentication).</w:t>
      </w:r>
    </w:p>
    <w:p>
      <w:r>
        <w:rPr>
          <w:rFonts w:ascii="Calibri" w:hAnsi="Calibri"/>
          <w:b w:val="0"/>
          <w:i w:val="0"/>
          <w:sz w:val="20"/>
        </w:rPr>
        <w:t xml:space="preserve">  4. Grant access to applications per the RBAC matrix. Standard access packages by role are pre-defined (e.g., 'Engineer' gets GitHub, AWS staging, Jira, Slack; 'Sales' gets CRM, Outreach, Slack, Google Workspace).</w:t>
      </w:r>
    </w:p>
    <w:p>
      <w:r>
        <w:rPr>
          <w:rFonts w:ascii="Calibri" w:hAnsi="Calibri"/>
          <w:b w:val="0"/>
          <w:i w:val="0"/>
          <w:sz w:val="20"/>
        </w:rPr>
        <w:t xml:space="preserve">  5. For any access BEYOND the standard role package: require explicit manager approval AND IT Security approval.</w:t>
      </w:r>
    </w:p>
    <w:p>
      <w:r>
        <w:rPr>
          <w:rFonts w:ascii="Calibri" w:hAnsi="Calibri"/>
          <w:b w:val="0"/>
          <w:i w:val="0"/>
          <w:sz w:val="20"/>
        </w:rPr>
        <w:t xml:space="preserve">  6. Send the new user their credentials via a secure method (password manager invite or in-person). Never send passwords via email or Slack.</w:t>
      </w:r>
    </w:p>
    <w:p>
      <w:r>
        <w:rPr>
          <w:rFonts w:ascii="Calibri" w:hAnsi="Calibri"/>
          <w:b w:val="0"/>
          <w:i w:val="0"/>
          <w:sz w:val="20"/>
        </w:rPr>
        <w:t xml:space="preserve">  7. Verify the user can log in to all provisioned systems on Day 1. Resolve any access issues immediately.</w:t>
      </w:r>
    </w:p>
    <w:p>
      <w:r>
        <w:rPr>
          <w:rFonts w:ascii="Calibri" w:hAnsi="Calibri"/>
          <w:b w:val="0"/>
          <w:i w:val="0"/>
          <w:sz w:val="20"/>
        </w:rPr>
        <w:t xml:space="preserve">  8. Document all access granted in the Access Management Log.</w:t>
      </w:r>
    </w:p>
    <w:p>
      <w:r>
        <w:rPr>
          <w:rFonts w:ascii="Calibri" w:hAnsi="Calibri"/>
          <w:b/>
          <w:i w:val="0"/>
          <w:sz w:val="20"/>
        </w:rPr>
        <w:t>3.2 Role Changes (Promotion, Transfer, New Responsibilities)</w:t>
      </w:r>
    </w:p>
    <w:p>
      <w:r>
        <w:rPr>
          <w:rFonts w:ascii="Calibri" w:hAnsi="Calibri"/>
          <w:b w:val="0"/>
          <w:i w:val="0"/>
          <w:sz w:val="20"/>
        </w:rPr>
        <w:t xml:space="preserve">  1. Manager submits an Access Modification Request (Form IT-002) specifying: the role change, new access requirements, and access to be revoked.</w:t>
      </w:r>
    </w:p>
    <w:p>
      <w:r>
        <w:rPr>
          <w:rFonts w:ascii="Calibri" w:hAnsi="Calibri"/>
          <w:b w:val="0"/>
          <w:i w:val="0"/>
          <w:sz w:val="20"/>
        </w:rPr>
        <w:t xml:space="preserve">  2. IT reviews the request against the RBAC matrix for the new role.</w:t>
      </w:r>
    </w:p>
    <w:p>
      <w:r>
        <w:rPr>
          <w:rFonts w:ascii="Calibri" w:hAnsi="Calibri"/>
          <w:b w:val="0"/>
          <w:i w:val="0"/>
          <w:sz w:val="20"/>
        </w:rPr>
        <w:t xml:space="preserve">  3. CRITICAL: Revoke access no longer needed for the new role BEFORE granting new access. Failure to revoke creates privilege accumulation (a common security risk).</w:t>
      </w:r>
    </w:p>
    <w:p>
      <w:r>
        <w:rPr>
          <w:rFonts w:ascii="Calibri" w:hAnsi="Calibri"/>
          <w:b w:val="0"/>
          <w:i w:val="0"/>
          <w:sz w:val="20"/>
        </w:rPr>
        <w:t xml:space="preserve">  4. Grant new access per the RBAC matrix for the new role.</w:t>
      </w:r>
    </w:p>
    <w:p>
      <w:r>
        <w:rPr>
          <w:rFonts w:ascii="Calibri" w:hAnsi="Calibri"/>
          <w:b w:val="0"/>
          <w:i w:val="0"/>
          <w:sz w:val="20"/>
        </w:rPr>
        <w:t xml:space="preserve">  5. Update the Access Management Log with: date, change type, old role, new role, access added, and access removed.</w:t>
      </w:r>
    </w:p>
    <w:p>
      <w:r>
        <w:rPr>
          <w:rFonts w:ascii="Calibri" w:hAnsi="Calibri"/>
          <w:b w:val="0"/>
          <w:i w:val="0"/>
          <w:sz w:val="20"/>
        </w:rPr>
        <w:t xml:space="preserve">  6. Notify the user of their updated access and any systems they can no longer reach.</w:t>
      </w:r>
    </w:p>
    <w:p>
      <w:r>
        <w:rPr>
          <w:rFonts w:ascii="Calibri" w:hAnsi="Calibri"/>
          <w:b/>
          <w:i w:val="0"/>
          <w:sz w:val="20"/>
        </w:rPr>
        <w:t>3.3 Offboarding Access Revocation (Termination / Contract End)</w:t>
      </w:r>
    </w:p>
    <w:p>
      <w:r>
        <w:rPr>
          <w:rFonts w:ascii="Calibri" w:hAnsi="Calibri"/>
          <w:b w:val="0"/>
          <w:i w:val="0"/>
          <w:sz w:val="20"/>
        </w:rPr>
        <w:t xml:space="preserve">  1. HR notifies IT of the departure via the Offboarding Checklist (Form IT-003) with: name, last day, reason (voluntary/involuntary), and any data preservation requirements.</w:t>
      </w:r>
    </w:p>
    <w:p>
      <w:r>
        <w:rPr>
          <w:rFonts w:ascii="Calibri" w:hAnsi="Calibri"/>
          <w:b w:val="0"/>
          <w:i w:val="0"/>
          <w:sz w:val="20"/>
        </w:rPr>
        <w:t xml:space="preserve">  2. For INVOLUNTARY terminations: disable all access IMMEDIATELY upon notification (same day, within 1 hour of HR notice). Do NOT wait for the last day.</w:t>
      </w:r>
    </w:p>
    <w:p>
      <w:r>
        <w:rPr>
          <w:rFonts w:ascii="Calibri" w:hAnsi="Calibri"/>
          <w:b w:val="0"/>
          <w:i w:val="0"/>
          <w:sz w:val="20"/>
        </w:rPr>
        <w:t xml:space="preserve">  3. For voluntary departures: disable access at end of business on the last day.</w:t>
      </w:r>
    </w:p>
    <w:p>
      <w:r>
        <w:rPr>
          <w:rFonts w:ascii="Calibri" w:hAnsi="Calibri"/>
          <w:b w:val="0"/>
          <w:i w:val="0"/>
          <w:sz w:val="20"/>
        </w:rPr>
        <w:t xml:space="preserve">  4. Disable the account in the Identity Provider (IdP). This cascades to all SSO-connected applications.</w:t>
      </w:r>
    </w:p>
    <w:p>
      <w:r>
        <w:rPr>
          <w:rFonts w:ascii="Calibri" w:hAnsi="Calibri"/>
          <w:b w:val="0"/>
          <w:i w:val="0"/>
          <w:sz w:val="20"/>
        </w:rPr>
        <w:t xml:space="preserve">  5. Manually revoke access for any applications NOT connected to SSO: AWS console, GitHub (if personal account), third-party SaaS tools.</w:t>
      </w:r>
    </w:p>
    <w:p>
      <w:r>
        <w:rPr>
          <w:rFonts w:ascii="Calibri" w:hAnsi="Calibri"/>
          <w:b w:val="0"/>
          <w:i w:val="0"/>
          <w:sz w:val="20"/>
        </w:rPr>
        <w:t xml:space="preserve">  6. Revoke physical access: badge, building access, parking, etc.</w:t>
      </w:r>
    </w:p>
    <w:p>
      <w:r>
        <w:rPr>
          <w:rFonts w:ascii="Calibri" w:hAnsi="Calibri"/>
          <w:b w:val="0"/>
          <w:i w:val="0"/>
          <w:sz w:val="20"/>
        </w:rPr>
        <w:t xml:space="preserve">  7. Transfer ownership of shared files, calendars, and email distribution lists to the designated successor (as specified by the manager).</w:t>
      </w:r>
    </w:p>
    <w:p>
      <w:r>
        <w:rPr>
          <w:rFonts w:ascii="Calibri" w:hAnsi="Calibri"/>
          <w:b w:val="0"/>
          <w:i w:val="0"/>
          <w:sz w:val="20"/>
        </w:rPr>
        <w:t xml:space="preserve">  8. Retain the email account in a read-only state for 30 days (or as required by Legal for litigation hold). Then archive and delete.</w:t>
      </w:r>
    </w:p>
    <w:p>
      <w:r>
        <w:rPr>
          <w:rFonts w:ascii="Calibri" w:hAnsi="Calibri"/>
          <w:b w:val="0"/>
          <w:i w:val="0"/>
          <w:sz w:val="20"/>
        </w:rPr>
        <w:t xml:space="preserve">  9. Document all access revoked in the Access Management Log. Manager signs off on the completed offboarding.</w:t>
      </w:r>
    </w:p>
    <w:p>
      <w:r>
        <w:rPr>
          <w:rFonts w:ascii="Calibri" w:hAnsi="Calibri"/>
          <w:b/>
          <w:i w:val="0"/>
          <w:sz w:val="20"/>
        </w:rPr>
        <w:t>3.4 Quarterly Access Review</w:t>
      </w:r>
    </w:p>
    <w:p>
      <w:r>
        <w:rPr>
          <w:rFonts w:ascii="Calibri" w:hAnsi="Calibri"/>
          <w:b w:val="0"/>
          <w:i w:val="0"/>
          <w:sz w:val="20"/>
        </w:rPr>
        <w:t xml:space="preserve">  1. Every quarter, IT generates a report of all active user accounts and their access levels across all systems.</w:t>
      </w:r>
    </w:p>
    <w:p>
      <w:r>
        <w:rPr>
          <w:rFonts w:ascii="Calibri" w:hAnsi="Calibri"/>
          <w:b w:val="0"/>
          <w:i w:val="0"/>
          <w:sz w:val="20"/>
        </w:rPr>
        <w:t xml:space="preserve">  2. Distribute the report to each department manager for review.</w:t>
      </w:r>
    </w:p>
    <w:p>
      <w:r>
        <w:rPr>
          <w:rFonts w:ascii="Calibri" w:hAnsi="Calibri"/>
          <w:b w:val="0"/>
          <w:i w:val="0"/>
          <w:sz w:val="20"/>
        </w:rPr>
        <w:t xml:space="preserve">  3. Managers verify: (a) all listed users are current employees/contractors who need access, and (b) the access level is appropriate for their current role.</w:t>
      </w:r>
    </w:p>
    <w:p>
      <w:r>
        <w:rPr>
          <w:rFonts w:ascii="Calibri" w:hAnsi="Calibri"/>
          <w:b w:val="0"/>
          <w:i w:val="0"/>
          <w:sz w:val="20"/>
        </w:rPr>
        <w:t xml:space="preserve">  4. Managers return the verified report within 10 business days with any corrections needed.</w:t>
      </w:r>
    </w:p>
    <w:p>
      <w:r>
        <w:rPr>
          <w:rFonts w:ascii="Calibri" w:hAnsi="Calibri"/>
          <w:b w:val="0"/>
          <w:i w:val="0"/>
          <w:sz w:val="20"/>
        </w:rPr>
        <w:t xml:space="preserve">  5. IT revokes any access flagged as unnecessary, expired, or inappropriately elevated.</w:t>
      </w:r>
    </w:p>
    <w:p>
      <w:r>
        <w:rPr>
          <w:rFonts w:ascii="Calibri" w:hAnsi="Calibri"/>
          <w:b w:val="0"/>
          <w:i w:val="0"/>
          <w:sz w:val="20"/>
        </w:rPr>
        <w:t xml:space="preserve">  6. Document the review results. Escalate any access anomalies (e.g., former employees still active) to IT Security.</w:t>
      </w:r>
    </w:p>
    <w:p>
      <w:r>
        <w:rPr>
          <w:rFonts w:ascii="Calibri" w:hAnsi="Calibri"/>
          <w:b w:val="0"/>
          <w:i w:val="0"/>
          <w:sz w:val="20"/>
        </w:rPr>
        <w:t xml:space="preserve">  7. Track quarterly review completion rates. Target: 100% of departments reviewed each quarter.</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SOP-TECH-005: Data Backup &amp; Recovery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SOP-TECH-005</w:t>
            </w:r>
          </w:p>
        </w:tc>
      </w:tr>
      <w:tr>
        <w:tc>
          <w:tcPr>
            <w:tcW w:type="dxa" w:w="4703"/>
          </w:tcPr>
          <w:p>
            <w:r/>
            <w:r>
              <w:rPr>
                <w:rFonts w:ascii="Calibri" w:hAnsi="Calibri"/>
                <w:b/>
                <w:sz w:val="20"/>
              </w:rPr>
              <w:t>Title</w:t>
            </w:r>
          </w:p>
        </w:tc>
        <w:tc>
          <w:tcPr>
            <w:tcW w:type="dxa" w:w="4703"/>
          </w:tcPr>
          <w:p>
            <w:r/>
            <w:r>
              <w:rPr>
                <w:rFonts w:ascii="Calibri" w:hAnsi="Calibri"/>
                <w:sz w:val="20"/>
              </w:rPr>
              <w:t>Data Backup &amp; Recovery</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Engineering / IT Operations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the procedures for backing up, verifying, and recovering company and customer data to ensure business continuity and data integrity in the event of hardware failure, software corruption, human error, or security incident.</w:t>
      </w:r>
    </w:p>
    <w:p>
      <w:pPr>
        <w:pStyle w:val="Heading2"/>
      </w:pPr>
      <w:r>
        <w:rPr>
          <w:rFonts w:ascii="Calibri" w:hAnsi="Calibri"/>
          <w:color w:val="1A3A5C"/>
        </w:rPr>
        <w:t>2. Scope</w:t>
      </w:r>
    </w:p>
    <w:p>
      <w:r>
        <w:rPr>
          <w:rFonts w:ascii="Calibri" w:hAnsi="Calibri"/>
          <w:b w:val="0"/>
          <w:i w:val="0"/>
          <w:sz w:val="20"/>
        </w:rPr>
        <w:t>This SOP covers all production databases, file storage systems, configuration data, source code repositories, and SaaS application data. It applies to both cloud-hosted and on-premises systems.</w:t>
      </w:r>
    </w:p>
    <w:p>
      <w:pPr>
        <w:pStyle w:val="Heading2"/>
      </w:pPr>
      <w:r>
        <w:rPr>
          <w:rFonts w:ascii="Calibri" w:hAnsi="Calibri"/>
          <w:color w:val="1A3A5C"/>
        </w:rPr>
        <w:t>3. Procedure</w:t>
      </w:r>
    </w:p>
    <w:p>
      <w:r>
        <w:rPr>
          <w:rFonts w:ascii="Calibri" w:hAnsi="Calibri"/>
          <w:b/>
          <w:i w:val="0"/>
          <w:sz w:val="20"/>
        </w:rPr>
        <w:t>3.1 Backup Schedule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1A3A5C"/>
          </w:tcPr>
          <w:p>
            <w:r>
              <w:rPr>
                <w:b/>
                <w:color w:val="FFFFFF"/>
                <w:sz w:val="20"/>
              </w:rPr>
              <w:t>Data Type</w:t>
            </w:r>
          </w:p>
        </w:tc>
        <w:tc>
          <w:tcPr>
            <w:tcW w:type="dxa" w:w="1881"/>
            <w:shd w:fill="1A3A5C"/>
          </w:tcPr>
          <w:p>
            <w:r>
              <w:rPr>
                <w:b/>
                <w:color w:val="FFFFFF"/>
                <w:sz w:val="20"/>
              </w:rPr>
              <w:t>Backup Type</w:t>
            </w:r>
          </w:p>
        </w:tc>
        <w:tc>
          <w:tcPr>
            <w:tcW w:type="dxa" w:w="1881"/>
            <w:shd w:fill="1A3A5C"/>
          </w:tcPr>
          <w:p>
            <w:r>
              <w:rPr>
                <w:b/>
                <w:color w:val="FFFFFF"/>
                <w:sz w:val="20"/>
              </w:rPr>
              <w:t>Frequency</w:t>
            </w:r>
          </w:p>
        </w:tc>
        <w:tc>
          <w:tcPr>
            <w:tcW w:type="dxa" w:w="1881"/>
            <w:shd w:fill="1A3A5C"/>
          </w:tcPr>
          <w:p>
            <w:r>
              <w:rPr>
                <w:b/>
                <w:color w:val="FFFFFF"/>
                <w:sz w:val="20"/>
              </w:rPr>
              <w:t>Retention</w:t>
            </w:r>
          </w:p>
        </w:tc>
        <w:tc>
          <w:tcPr>
            <w:tcW w:type="dxa" w:w="1881"/>
            <w:shd w:fill="1A3A5C"/>
          </w:tcPr>
          <w:p>
            <w:r>
              <w:rPr>
                <w:b/>
                <w:color w:val="FFFFFF"/>
                <w:sz w:val="20"/>
              </w:rPr>
              <w:t>Storage Location</w:t>
            </w:r>
          </w:p>
        </w:tc>
      </w:tr>
      <w:tr>
        <w:tc>
          <w:tcPr>
            <w:tcW w:type="dxa" w:w="1881"/>
          </w:tcPr>
          <w:p>
            <w:r/>
            <w:r>
              <w:rPr>
                <w:rFonts w:ascii="Calibri" w:hAnsi="Calibri"/>
                <w:sz w:val="20"/>
              </w:rPr>
              <w:t>Production Database</w:t>
            </w:r>
          </w:p>
        </w:tc>
        <w:tc>
          <w:tcPr>
            <w:tcW w:type="dxa" w:w="1881"/>
          </w:tcPr>
          <w:p>
            <w:r/>
            <w:r>
              <w:rPr>
                <w:rFonts w:ascii="Calibri" w:hAnsi="Calibri"/>
                <w:sz w:val="20"/>
              </w:rPr>
              <w:t>Full backup</w:t>
            </w:r>
          </w:p>
        </w:tc>
        <w:tc>
          <w:tcPr>
            <w:tcW w:type="dxa" w:w="1881"/>
          </w:tcPr>
          <w:p>
            <w:r/>
            <w:r>
              <w:rPr>
                <w:rFonts w:ascii="Calibri" w:hAnsi="Calibri"/>
                <w:sz w:val="20"/>
              </w:rPr>
              <w:t>Daily at 02:00 UTC</w:t>
            </w:r>
          </w:p>
        </w:tc>
        <w:tc>
          <w:tcPr>
            <w:tcW w:type="dxa" w:w="1881"/>
          </w:tcPr>
          <w:p>
            <w:r/>
            <w:r>
              <w:rPr>
                <w:rFonts w:ascii="Calibri" w:hAnsi="Calibri"/>
                <w:sz w:val="20"/>
              </w:rPr>
              <w:t>30 days</w:t>
            </w:r>
          </w:p>
        </w:tc>
        <w:tc>
          <w:tcPr>
            <w:tcW w:type="dxa" w:w="1881"/>
          </w:tcPr>
          <w:p>
            <w:r/>
            <w:r>
              <w:rPr>
                <w:rFonts w:ascii="Calibri" w:hAnsi="Calibri"/>
                <w:sz w:val="20"/>
              </w:rPr>
              <w:t>Separate cloud region (geo-redundant)</w:t>
            </w:r>
          </w:p>
        </w:tc>
      </w:tr>
      <w:tr>
        <w:tc>
          <w:tcPr>
            <w:tcW w:type="dxa" w:w="1881"/>
          </w:tcPr>
          <w:p>
            <w:r/>
            <w:r>
              <w:rPr>
                <w:rFonts w:ascii="Calibri" w:hAnsi="Calibri"/>
                <w:sz w:val="20"/>
              </w:rPr>
              <w:t>Production Database</w:t>
            </w:r>
          </w:p>
        </w:tc>
        <w:tc>
          <w:tcPr>
            <w:tcW w:type="dxa" w:w="1881"/>
          </w:tcPr>
          <w:p>
            <w:r/>
            <w:r>
              <w:rPr>
                <w:rFonts w:ascii="Calibri" w:hAnsi="Calibri"/>
                <w:sz w:val="20"/>
              </w:rPr>
              <w:t>Incremental backup</w:t>
            </w:r>
          </w:p>
        </w:tc>
        <w:tc>
          <w:tcPr>
            <w:tcW w:type="dxa" w:w="1881"/>
          </w:tcPr>
          <w:p>
            <w:r/>
            <w:r>
              <w:rPr>
                <w:rFonts w:ascii="Calibri" w:hAnsi="Calibri"/>
                <w:sz w:val="20"/>
              </w:rPr>
              <w:t>Every 6 hours</w:t>
            </w:r>
          </w:p>
        </w:tc>
        <w:tc>
          <w:tcPr>
            <w:tcW w:type="dxa" w:w="1881"/>
          </w:tcPr>
          <w:p>
            <w:r/>
            <w:r>
              <w:rPr>
                <w:rFonts w:ascii="Calibri" w:hAnsi="Calibri"/>
                <w:sz w:val="20"/>
              </w:rPr>
              <w:t>7 days</w:t>
            </w:r>
          </w:p>
        </w:tc>
        <w:tc>
          <w:tcPr>
            <w:tcW w:type="dxa" w:w="1881"/>
          </w:tcPr>
          <w:p>
            <w:r/>
            <w:r>
              <w:rPr>
                <w:rFonts w:ascii="Calibri" w:hAnsi="Calibri"/>
                <w:sz w:val="20"/>
              </w:rPr>
              <w:t>Same region, different AZ</w:t>
            </w:r>
          </w:p>
        </w:tc>
      </w:tr>
      <w:tr>
        <w:tc>
          <w:tcPr>
            <w:tcW w:type="dxa" w:w="1881"/>
          </w:tcPr>
          <w:p>
            <w:r/>
            <w:r>
              <w:rPr>
                <w:rFonts w:ascii="Calibri" w:hAnsi="Calibri"/>
                <w:sz w:val="20"/>
              </w:rPr>
              <w:t>Production Database</w:t>
            </w:r>
          </w:p>
        </w:tc>
        <w:tc>
          <w:tcPr>
            <w:tcW w:type="dxa" w:w="1881"/>
          </w:tcPr>
          <w:p>
            <w:r/>
            <w:r>
              <w:rPr>
                <w:rFonts w:ascii="Calibri" w:hAnsi="Calibri"/>
                <w:sz w:val="20"/>
              </w:rPr>
              <w:t>Transaction log backup</w:t>
            </w:r>
          </w:p>
        </w:tc>
        <w:tc>
          <w:tcPr>
            <w:tcW w:type="dxa" w:w="1881"/>
          </w:tcPr>
          <w:p>
            <w:r/>
            <w:r>
              <w:rPr>
                <w:rFonts w:ascii="Calibri" w:hAnsi="Calibri"/>
                <w:sz w:val="20"/>
              </w:rPr>
              <w:t>Every 15 minutes</w:t>
            </w:r>
          </w:p>
        </w:tc>
        <w:tc>
          <w:tcPr>
            <w:tcW w:type="dxa" w:w="1881"/>
          </w:tcPr>
          <w:p>
            <w:r/>
            <w:r>
              <w:rPr>
                <w:rFonts w:ascii="Calibri" w:hAnsi="Calibri"/>
                <w:sz w:val="20"/>
              </w:rPr>
              <w:t>7 days</w:t>
            </w:r>
          </w:p>
        </w:tc>
        <w:tc>
          <w:tcPr>
            <w:tcW w:type="dxa" w:w="1881"/>
          </w:tcPr>
          <w:p>
            <w:r/>
            <w:r>
              <w:rPr>
                <w:rFonts w:ascii="Calibri" w:hAnsi="Calibri"/>
                <w:sz w:val="20"/>
              </w:rPr>
              <w:t>Same region</w:t>
            </w:r>
          </w:p>
        </w:tc>
      </w:tr>
      <w:tr>
        <w:tc>
          <w:tcPr>
            <w:tcW w:type="dxa" w:w="1881"/>
          </w:tcPr>
          <w:p>
            <w:r/>
            <w:r>
              <w:rPr>
                <w:rFonts w:ascii="Calibri" w:hAnsi="Calibri"/>
                <w:sz w:val="20"/>
              </w:rPr>
              <w:t>File Storage (S3/Blob)</w:t>
            </w:r>
          </w:p>
        </w:tc>
        <w:tc>
          <w:tcPr>
            <w:tcW w:type="dxa" w:w="1881"/>
          </w:tcPr>
          <w:p>
            <w:r/>
            <w:r>
              <w:rPr>
                <w:rFonts w:ascii="Calibri" w:hAnsi="Calibri"/>
                <w:sz w:val="20"/>
              </w:rPr>
              <w:t>Snapshot</w:t>
            </w:r>
          </w:p>
        </w:tc>
        <w:tc>
          <w:tcPr>
            <w:tcW w:type="dxa" w:w="1881"/>
          </w:tcPr>
          <w:p>
            <w:r/>
            <w:r>
              <w:rPr>
                <w:rFonts w:ascii="Calibri" w:hAnsi="Calibri"/>
                <w:sz w:val="20"/>
              </w:rPr>
              <w:t>Daily at 03:00 UTC</w:t>
            </w:r>
          </w:p>
        </w:tc>
        <w:tc>
          <w:tcPr>
            <w:tcW w:type="dxa" w:w="1881"/>
          </w:tcPr>
          <w:p>
            <w:r/>
            <w:r>
              <w:rPr>
                <w:rFonts w:ascii="Calibri" w:hAnsi="Calibri"/>
                <w:sz w:val="20"/>
              </w:rPr>
              <w:t>30 days</w:t>
            </w:r>
          </w:p>
        </w:tc>
        <w:tc>
          <w:tcPr>
            <w:tcW w:type="dxa" w:w="1881"/>
          </w:tcPr>
          <w:p>
            <w:r/>
            <w:r>
              <w:rPr>
                <w:rFonts w:ascii="Calibri" w:hAnsi="Calibri"/>
                <w:sz w:val="20"/>
              </w:rPr>
              <w:t>Separate cloud region</w:t>
            </w:r>
          </w:p>
        </w:tc>
      </w:tr>
      <w:tr>
        <w:tc>
          <w:tcPr>
            <w:tcW w:type="dxa" w:w="1881"/>
          </w:tcPr>
          <w:p>
            <w:r/>
            <w:r>
              <w:rPr>
                <w:rFonts w:ascii="Calibri" w:hAnsi="Calibri"/>
                <w:sz w:val="20"/>
              </w:rPr>
              <w:t>Source Code (Git)</w:t>
            </w:r>
          </w:p>
        </w:tc>
        <w:tc>
          <w:tcPr>
            <w:tcW w:type="dxa" w:w="1881"/>
          </w:tcPr>
          <w:p>
            <w:r/>
            <w:r>
              <w:rPr>
                <w:rFonts w:ascii="Calibri" w:hAnsi="Calibri"/>
                <w:sz w:val="20"/>
              </w:rPr>
              <w:t>Mirror</w:t>
            </w:r>
          </w:p>
        </w:tc>
        <w:tc>
          <w:tcPr>
            <w:tcW w:type="dxa" w:w="1881"/>
          </w:tcPr>
          <w:p>
            <w:r/>
            <w:r>
              <w:rPr>
                <w:rFonts w:ascii="Calibri" w:hAnsi="Calibri"/>
                <w:sz w:val="20"/>
              </w:rPr>
              <w:t>Real-time (push mirror)</w:t>
            </w:r>
          </w:p>
        </w:tc>
        <w:tc>
          <w:tcPr>
            <w:tcW w:type="dxa" w:w="1881"/>
          </w:tcPr>
          <w:p>
            <w:r/>
            <w:r>
              <w:rPr>
                <w:rFonts w:ascii="Calibri" w:hAnsi="Calibri"/>
                <w:sz w:val="20"/>
              </w:rPr>
              <w:t>Indefinite</w:t>
            </w:r>
          </w:p>
        </w:tc>
        <w:tc>
          <w:tcPr>
            <w:tcW w:type="dxa" w:w="1881"/>
          </w:tcPr>
          <w:p>
            <w:r/>
            <w:r>
              <w:rPr>
                <w:rFonts w:ascii="Calibri" w:hAnsi="Calibri"/>
                <w:sz w:val="20"/>
              </w:rPr>
              <w:t>Secondary Git hosting provider</w:t>
            </w:r>
          </w:p>
        </w:tc>
      </w:tr>
      <w:tr>
        <w:tc>
          <w:tcPr>
            <w:tcW w:type="dxa" w:w="1881"/>
          </w:tcPr>
          <w:p>
            <w:r/>
            <w:r>
              <w:rPr>
                <w:rFonts w:ascii="Calibri" w:hAnsi="Calibri"/>
                <w:sz w:val="20"/>
              </w:rPr>
              <w:t>Configuration (IaC)</w:t>
            </w:r>
          </w:p>
        </w:tc>
        <w:tc>
          <w:tcPr>
            <w:tcW w:type="dxa" w:w="1881"/>
          </w:tcPr>
          <w:p>
            <w:r/>
            <w:r>
              <w:rPr>
                <w:rFonts w:ascii="Calibri" w:hAnsi="Calibri"/>
                <w:sz w:val="20"/>
              </w:rPr>
              <w:t>Version controlled</w:t>
            </w:r>
          </w:p>
        </w:tc>
        <w:tc>
          <w:tcPr>
            <w:tcW w:type="dxa" w:w="1881"/>
          </w:tcPr>
          <w:p>
            <w:r/>
            <w:r>
              <w:rPr>
                <w:rFonts w:ascii="Calibri" w:hAnsi="Calibri"/>
                <w:sz w:val="20"/>
              </w:rPr>
              <w:t>Every commit</w:t>
            </w:r>
          </w:p>
        </w:tc>
        <w:tc>
          <w:tcPr>
            <w:tcW w:type="dxa" w:w="1881"/>
          </w:tcPr>
          <w:p>
            <w:r/>
            <w:r>
              <w:rPr>
                <w:rFonts w:ascii="Calibri" w:hAnsi="Calibri"/>
                <w:sz w:val="20"/>
              </w:rPr>
              <w:t>Indefinite</w:t>
            </w:r>
          </w:p>
        </w:tc>
        <w:tc>
          <w:tcPr>
            <w:tcW w:type="dxa" w:w="1881"/>
          </w:tcPr>
          <w:p>
            <w:r/>
            <w:r>
              <w:rPr>
                <w:rFonts w:ascii="Calibri" w:hAnsi="Calibri"/>
                <w:sz w:val="20"/>
              </w:rPr>
              <w:t>Git repository</w:t>
            </w:r>
          </w:p>
        </w:tc>
      </w:tr>
      <w:tr>
        <w:tc>
          <w:tcPr>
            <w:tcW w:type="dxa" w:w="1881"/>
          </w:tcPr>
          <w:p>
            <w:r/>
            <w:r>
              <w:rPr>
                <w:rFonts w:ascii="Calibri" w:hAnsi="Calibri"/>
                <w:sz w:val="20"/>
              </w:rPr>
              <w:t>SaaS App Data</w:t>
            </w:r>
          </w:p>
        </w:tc>
        <w:tc>
          <w:tcPr>
            <w:tcW w:type="dxa" w:w="1881"/>
          </w:tcPr>
          <w:p>
            <w:r/>
            <w:r>
              <w:rPr>
                <w:rFonts w:ascii="Calibri" w:hAnsi="Calibri"/>
                <w:sz w:val="20"/>
              </w:rPr>
              <w:t>API export</w:t>
            </w:r>
          </w:p>
        </w:tc>
        <w:tc>
          <w:tcPr>
            <w:tcW w:type="dxa" w:w="1881"/>
          </w:tcPr>
          <w:p>
            <w:r/>
            <w:r>
              <w:rPr>
                <w:rFonts w:ascii="Calibri" w:hAnsi="Calibri"/>
                <w:sz w:val="20"/>
              </w:rPr>
              <w:t>Weekly (Sunday 04:00 UTC)</w:t>
            </w:r>
          </w:p>
        </w:tc>
        <w:tc>
          <w:tcPr>
            <w:tcW w:type="dxa" w:w="1881"/>
          </w:tcPr>
          <w:p>
            <w:r/>
            <w:r>
              <w:rPr>
                <w:rFonts w:ascii="Calibri" w:hAnsi="Calibri"/>
                <w:sz w:val="20"/>
              </w:rPr>
              <w:t>90 days</w:t>
            </w:r>
          </w:p>
        </w:tc>
        <w:tc>
          <w:tcPr>
            <w:tcW w:type="dxa" w:w="1881"/>
          </w:tcPr>
          <w:p>
            <w:r/>
            <w:r>
              <w:rPr>
                <w:rFonts w:ascii="Calibri" w:hAnsi="Calibri"/>
                <w:sz w:val="20"/>
              </w:rPr>
              <w:t>Company cloud storage</w:t>
            </w:r>
          </w:p>
        </w:tc>
      </w:tr>
    </w:tbl>
    <w:p/>
    <w:p>
      <w:r>
        <w:rPr>
          <w:rFonts w:ascii="Calibri" w:hAnsi="Calibri"/>
          <w:b/>
          <w:i w:val="0"/>
          <w:sz w:val="20"/>
        </w:rPr>
        <w:t>3.2 Backup Verification</w:t>
      </w:r>
    </w:p>
    <w:p>
      <w:r>
        <w:rPr>
          <w:rFonts w:ascii="Calibri" w:hAnsi="Calibri"/>
          <w:b w:val="0"/>
          <w:i w:val="0"/>
          <w:sz w:val="20"/>
        </w:rPr>
        <w:t xml:space="preserve">  1. Automated backup verification runs daily: after each full backup, the system restores it to an isolated verification environment and runs integrity checks.</w:t>
      </w:r>
    </w:p>
    <w:p>
      <w:r>
        <w:rPr>
          <w:rFonts w:ascii="Calibri" w:hAnsi="Calibri"/>
          <w:b w:val="0"/>
          <w:i w:val="0"/>
          <w:sz w:val="20"/>
        </w:rPr>
        <w:t xml:space="preserve">  2. The integrity check verifies: backup file is not corrupted (checksum validation), database can be started and queried, row counts match production (within delta for time difference), and no table corruption.</w:t>
      </w:r>
    </w:p>
    <w:p>
      <w:r>
        <w:rPr>
          <w:rFonts w:ascii="Calibri" w:hAnsi="Calibri"/>
          <w:b w:val="0"/>
          <w:i w:val="0"/>
          <w:sz w:val="20"/>
        </w:rPr>
        <w:t xml:space="preserve">  3. Verification results are logged automatically. Failures trigger a PagerDuty alert to the on-call engineer.</w:t>
      </w:r>
    </w:p>
    <w:p>
      <w:r>
        <w:rPr>
          <w:rFonts w:ascii="Calibri" w:hAnsi="Calibri"/>
          <w:b w:val="0"/>
          <w:i w:val="0"/>
          <w:sz w:val="20"/>
        </w:rPr>
        <w:t xml:space="preserve">  4. Manual verification: once per month, the DBA manually restores a random daily backup to a test environment and verifies data integrity by running a predefined set of queries.</w:t>
      </w:r>
    </w:p>
    <w:p>
      <w:r>
        <w:rPr>
          <w:rFonts w:ascii="Calibri" w:hAnsi="Calibri"/>
          <w:b w:val="0"/>
          <w:i w:val="0"/>
          <w:sz w:val="20"/>
        </w:rPr>
        <w:t xml:space="preserve">  5. Document all verification results in the Backup Verification Log. Track verification success rate (target: 100%).</w:t>
      </w:r>
    </w:p>
    <w:p>
      <w:r>
        <w:rPr>
          <w:rFonts w:ascii="Calibri" w:hAnsi="Calibri"/>
          <w:b/>
          <w:i w:val="0"/>
          <w:sz w:val="20"/>
        </w:rPr>
        <w:t>3.3 Recovery Procedures</w:t>
      </w:r>
    </w:p>
    <w:p>
      <w:r>
        <w:rPr>
          <w:rFonts w:ascii="Calibri" w:hAnsi="Calibri"/>
          <w:b/>
          <w:i w:val="0"/>
          <w:sz w:val="20"/>
        </w:rPr>
        <w:t>3.3.1 Point-in-Time Recovery (Database)</w:t>
      </w:r>
    </w:p>
    <w:p>
      <w:r>
        <w:rPr>
          <w:rFonts w:ascii="Calibri" w:hAnsi="Calibri"/>
          <w:b w:val="0"/>
          <w:i w:val="0"/>
          <w:sz w:val="20"/>
        </w:rPr>
        <w:t xml:space="preserve">  1. Determine the target recovery point: what date and time should the data be restored to?</w:t>
      </w:r>
    </w:p>
    <w:p>
      <w:r>
        <w:rPr>
          <w:rFonts w:ascii="Calibri" w:hAnsi="Calibri"/>
          <w:b w:val="0"/>
          <w:i w:val="0"/>
          <w:sz w:val="20"/>
        </w:rPr>
        <w:t xml:space="preserve">  2. Identify the most recent full backup BEFORE the target time. Identify the transaction logs from the backup time through the target time.</w:t>
      </w:r>
    </w:p>
    <w:p>
      <w:r>
        <w:rPr>
          <w:rFonts w:ascii="Calibri" w:hAnsi="Calibri"/>
          <w:b w:val="0"/>
          <w:i w:val="0"/>
          <w:sz w:val="20"/>
        </w:rPr>
        <w:t xml:space="preserve">  3. Restore the full backup to an isolated recovery environment (NOT directly to production).</w:t>
      </w:r>
    </w:p>
    <w:p>
      <w:r>
        <w:rPr>
          <w:rFonts w:ascii="Calibri" w:hAnsi="Calibri"/>
          <w:b w:val="0"/>
          <w:i w:val="0"/>
          <w:sz w:val="20"/>
        </w:rPr>
        <w:t xml:space="preserve">  4. Apply transaction logs up to the target recovery point.</w:t>
      </w:r>
    </w:p>
    <w:p>
      <w:r>
        <w:rPr>
          <w:rFonts w:ascii="Calibri" w:hAnsi="Calibri"/>
          <w:b w:val="0"/>
          <w:i w:val="0"/>
          <w:sz w:val="20"/>
        </w:rPr>
        <w:t xml:space="preserve">  5. Verify the recovered data: run integrity queries, spot-check critical records, confirm the data matches the expected state.</w:t>
      </w:r>
    </w:p>
    <w:p>
      <w:r>
        <w:rPr>
          <w:rFonts w:ascii="Calibri" w:hAnsi="Calibri"/>
          <w:b w:val="0"/>
          <w:i w:val="0"/>
          <w:sz w:val="20"/>
        </w:rPr>
        <w:t xml:space="preserve">  6. IF verified: swap the recovered database into production (blue-green database pattern) or execute a data migration to overwrite corrupted data in place.</w:t>
      </w:r>
    </w:p>
    <w:p>
      <w:r>
        <w:rPr>
          <w:rFonts w:ascii="Calibri" w:hAnsi="Calibri"/>
          <w:b w:val="0"/>
          <w:i w:val="0"/>
          <w:sz w:val="20"/>
        </w:rPr>
        <w:t xml:space="preserve">  7. Document the recovery: reason, target recovery point, actual recovery point achieved, data verified, and duration.</w:t>
      </w:r>
    </w:p>
    <w:p>
      <w:r>
        <w:rPr>
          <w:rFonts w:ascii="Calibri" w:hAnsi="Calibri"/>
          <w:b/>
          <w:i w:val="0"/>
          <w:sz w:val="20"/>
        </w:rPr>
        <w:t>3.3.2 Full Disaster Recovery</w:t>
      </w:r>
    </w:p>
    <w:p>
      <w:r>
        <w:rPr>
          <w:rFonts w:ascii="Calibri" w:hAnsi="Calibri"/>
          <w:b w:val="0"/>
          <w:i w:val="0"/>
          <w:sz w:val="20"/>
        </w:rPr>
        <w:t xml:space="preserve">  1. IF the primary cloud region is unavailable: activate the disaster recovery (DR) site in the secondary region.</w:t>
      </w:r>
    </w:p>
    <w:p>
      <w:r>
        <w:rPr>
          <w:rFonts w:ascii="Calibri" w:hAnsi="Calibri"/>
          <w:b w:val="0"/>
          <w:i w:val="0"/>
          <w:sz w:val="20"/>
        </w:rPr>
        <w:t xml:space="preserve">  2. Update DNS to point to the DR site. TTL should be set low enough (60 seconds) to enable fast failover.</w:t>
      </w:r>
    </w:p>
    <w:p>
      <w:r>
        <w:rPr>
          <w:rFonts w:ascii="Calibri" w:hAnsi="Calibri"/>
          <w:b w:val="0"/>
          <w:i w:val="0"/>
          <w:sz w:val="20"/>
        </w:rPr>
        <w:t xml:space="preserve">  3. Restore the most recent database backup to the DR database servers.</w:t>
      </w:r>
    </w:p>
    <w:p>
      <w:r>
        <w:rPr>
          <w:rFonts w:ascii="Calibri" w:hAnsi="Calibri"/>
          <w:b w:val="0"/>
          <w:i w:val="0"/>
          <w:sz w:val="20"/>
        </w:rPr>
        <w:t xml:space="preserve">  4. Verify all application services are running in the DR environment. Run the full smoke test suite.</w:t>
      </w:r>
    </w:p>
    <w:p>
      <w:r>
        <w:rPr>
          <w:rFonts w:ascii="Calibri" w:hAnsi="Calibri"/>
          <w:b w:val="0"/>
          <w:i w:val="0"/>
          <w:sz w:val="20"/>
        </w:rPr>
        <w:t xml:space="preserve">  5. Notify customers of the failover and any data loss window (the gap between the last backup and the failure).</w:t>
      </w:r>
    </w:p>
    <w:p>
      <w:r>
        <w:rPr>
          <w:rFonts w:ascii="Calibri" w:hAnsi="Calibri"/>
          <w:b w:val="0"/>
          <w:i w:val="0"/>
          <w:sz w:val="20"/>
        </w:rPr>
        <w:t xml:space="preserve">  6. When the primary region is restored: plan the failback carefully. Synchronize data changes made in the DR environment back to primary before switching.</w:t>
      </w:r>
    </w:p>
    <w:p>
      <w:r>
        <w:rPr>
          <w:rFonts w:ascii="Calibri" w:hAnsi="Calibri"/>
          <w:b/>
          <w:i w:val="0"/>
          <w:sz w:val="20"/>
        </w:rPr>
        <w:t>3.4 Recovery Testing</w:t>
      </w:r>
    </w:p>
    <w:p>
      <w:r>
        <w:rPr>
          <w:rFonts w:ascii="Calibri" w:hAnsi="Calibri"/>
          <w:b w:val="0"/>
          <w:i w:val="0"/>
          <w:sz w:val="20"/>
        </w:rPr>
        <w:t xml:space="preserve">  1. Conduct a tabletop disaster recovery exercise quarterly: walk through the DR plan with the engineering team, identify gaps, and update the plan.</w:t>
      </w:r>
    </w:p>
    <w:p>
      <w:r>
        <w:rPr>
          <w:rFonts w:ascii="Calibri" w:hAnsi="Calibri"/>
          <w:b w:val="0"/>
          <w:i w:val="0"/>
          <w:sz w:val="20"/>
        </w:rPr>
        <w:t xml:space="preserve">  2. Conduct a live DR drill semi-annually: actually failover to the DR site during a maintenance window. Verify RTO (Recovery Time Objective) and RPO (Recovery Point Objective) are met.</w:t>
      </w:r>
    </w:p>
    <w:p>
      <w:r>
        <w:rPr>
          <w:rFonts w:ascii="Calibri" w:hAnsi="Calibri"/>
          <w:b w:val="0"/>
          <w:i w:val="0"/>
          <w:sz w:val="20"/>
        </w:rPr>
        <w:t xml:space="preserve">  3. Current targets: RTO = 4 hours (time to restore service), RPO = 15 minutes (maximum acceptable data loss).</w:t>
      </w:r>
    </w:p>
    <w:p>
      <w:r>
        <w:rPr>
          <w:rFonts w:ascii="Calibri" w:hAnsi="Calibri"/>
          <w:b w:val="0"/>
          <w:i w:val="0"/>
          <w:sz w:val="20"/>
        </w:rPr>
        <w:t xml:space="preserve">  4. Document drill results: actual RTO achieved, actual RPO achieved, issues encountered, and improvement actions.</w:t>
      </w:r>
    </w:p>
    <w:p>
      <w:r>
        <w:rPr>
          <w:rFonts w:ascii="Calibri" w:hAnsi="Calibri"/>
          <w:b w:val="0"/>
          <w:i w:val="0"/>
          <w:sz w:val="20"/>
        </w:rPr>
        <w:t xml:space="preserve">  5. Update this SOP after each drill with any procedural improvements discovered.</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pPr>
        <w:jc w:val="center"/>
      </w:pPr>
      <w:r>
        <w:rPr>
          <w:i/>
          <w:color w:val="999999"/>
          <w:sz w:val="16"/>
        </w:rPr>
        <w:br/>
        <w:t>This document is controlled. Printed copies are for reference only.</w:t>
        <w:br/>
        <w:t>Built with Pure Work 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