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Labour Relations Act 66 of 1995</w:t>
      </w:r>
    </w:p>
    <w:p>
      <w:pPr>
        <w:pStyle w:val="Heading1"/>
      </w:pPr>
      <w:r>
        <w:t>Labour Relations Act (LRA)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[POLICY-SA-002]</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sets out [COMPANY NAME]'s approach to employment relations in accordance with the Labour Relations Act 66 of 1995 (LRA), as amended. The LRA is the primary legislation governing the relationship between employers, employees, and trade unions in South Africa. This policy ensures that all employment decisions, including discipline, dismissal, and dispute resolution, are conducted fairly and lawfully.</w:t>
      </w:r>
    </w:p>
    <w:p>
      <w:pPr>
        <w:pStyle w:val="Heading2"/>
      </w:pPr>
      <w:r>
        <w:t>2. Scope</w:t>
      </w:r>
    </w:p>
    <w:p>
      <w:r>
        <w:t>This policy applies to all employees of [COMPANY NAME] in South Africa, regardless of their level, function, or duration of employment. Independent contractors are not covered by the LRA unless they are deemed to be employees as defined in Section 200A (the presumption of employment).</w:t>
      </w:r>
    </w:p>
    <w:p>
      <w:pPr>
        <w:pStyle w:val="Heading2"/>
      </w:pPr>
      <w:r>
        <w:t>3. No At-Will Employment</w:t>
      </w:r>
    </w:p>
    <w:p>
      <w:r>
        <w:t>South Africa does not recognize at-will employment. Under the LRA, every employee has the right not to be unfairly dismissed. This means:</w:t>
      </w:r>
    </w:p>
    <w:p>
      <w:pPr>
        <w:pStyle w:val="ListBullet"/>
      </w:pPr>
      <w:r>
        <w:t>The employer must have a fair reason for dismissal, recognized in law (substantive fairness);</w:t>
      </w:r>
    </w:p>
    <w:p>
      <w:pPr>
        <w:pStyle w:val="ListBullet"/>
      </w:pPr>
      <w:r>
        <w:t>The employer must follow a fair procedure before dismissing an employee (procedural fairness);</w:t>
      </w:r>
    </w:p>
    <w:p>
      <w:pPr>
        <w:pStyle w:val="ListBullet"/>
      </w:pPr>
      <w:r>
        <w:t>The burden of proof rests on the employer to demonstrate both substantive and procedural fairness.</w:t>
      </w:r>
    </w:p>
    <w:p>
      <w:pPr>
        <w:pStyle w:val="Heading2"/>
      </w:pPr>
      <w:r>
        <w:t>4. Types of Dismissal</w:t>
      </w:r>
    </w:p>
    <w:p>
      <w:r>
        <w:t>The LRA recognizes three grounds for fair dismissal:</w:t>
      </w:r>
    </w:p>
    <w:p>
      <w:pPr>
        <w:pStyle w:val="Heading3"/>
      </w:pPr>
      <w:r>
        <w:t>4.1 Misconduct</w:t>
      </w:r>
    </w:p>
    <w:p>
      <w:r>
        <w:t>Dismissal for misconduct arises when the employee has contravened a workplace rule or standard of conduct. To be fair, the misconduct must be serious, the rule must have been known (or should have been known) to the employee, and the rule must be consistently applied. Progressive discipline should normally be applied before dismissal for misconduct, except in cases of gross misconduct where summary dismissal may be warranted.</w:t>
      </w:r>
    </w:p>
    <w:p>
      <w:pPr>
        <w:pStyle w:val="Heading3"/>
      </w:pPr>
      <w:r>
        <w:t>4.2 Incapacity</w:t>
      </w:r>
    </w:p>
    <w:p>
      <w:r>
        <w:t>Incapacity includes both poor work performance and ill health or injury. The approach differs for each:</w:t>
      </w:r>
    </w:p>
    <w:p>
      <w:pPr>
        <w:pStyle w:val="ListBullet"/>
      </w:pPr>
      <w:r>
        <w:rPr>
          <w:b/>
        </w:rPr>
        <w:t xml:space="preserve">Poor Performance: </w:t>
      </w:r>
      <w:r>
        <w:t>Poor work performance: The employer must counsel the employee, set clear performance standards, provide training or support, allow a reasonable period for improvement, and consider alternative positions before dismissal;</w:t>
      </w:r>
    </w:p>
    <w:p>
      <w:pPr>
        <w:pStyle w:val="ListBullet"/>
      </w:pPr>
      <w:r>
        <w:rPr>
          <w:b/>
        </w:rPr>
        <w:t xml:space="preserve">Ill Health/Injury: </w:t>
      </w:r>
      <w:r>
        <w:t>Ill health or injury: The employer must investigate the extent of the incapacity, the cause, the likely duration, the possibility of securing temporary replacement, and consider alternative work or adapted duties before dismissal.</w:t>
      </w:r>
    </w:p>
    <w:p>
      <w:pPr>
        <w:pStyle w:val="Heading3"/>
      </w:pPr>
      <w:r>
        <w:t>4.3 Operational Requirements</w:t>
      </w:r>
    </w:p>
    <w:p>
      <w:r>
        <w:t>Dismissal for operational requirements (retrenchment) is based on the employer's economic, technological, structural, or similar needs. The employer must follow the consultation process prescribed by Section 189 (or Section 189A for large-scale retrenchments affecting 50 or more employees). The employer must:</w:t>
      </w:r>
    </w:p>
    <w:p>
      <w:pPr>
        <w:pStyle w:val="ListBullet"/>
      </w:pPr>
      <w:r>
        <w:t>Issue a written notice to the consulting parties (employees/union) disclosing the reasons for contemplated dismissals;</w:t>
      </w:r>
    </w:p>
    <w:p>
      <w:pPr>
        <w:pStyle w:val="ListBullet"/>
      </w:pPr>
      <w:r>
        <w:t>Consult in good faith with the aim of reaching consensus on avoiding, minimizing, or mitigating the effects of the dismissals;</w:t>
      </w:r>
    </w:p>
    <w:p>
      <w:pPr>
        <w:pStyle w:val="ListBullet"/>
      </w:pPr>
      <w:r>
        <w:t>Apply fair and objective selection criteria (e.g., LIFO -- Last In, First Out -- unless otherwise agreed);</w:t>
      </w:r>
    </w:p>
    <w:p>
      <w:pPr>
        <w:pStyle w:val="ListBullet"/>
      </w:pPr>
      <w:r>
        <w:t>Pay severance pay of at least one week's remuneration per completed year of service.</w:t>
      </w:r>
    </w:p>
    <w:p>
      <w:pPr>
        <w:pStyle w:val="Heading2"/>
      </w:pPr>
      <w:r>
        <w:t>5. Disciplinary Hearing Requirements</w:t>
      </w:r>
    </w:p>
    <w:p>
      <w:r>
        <w:t>Before dismissing an employee for misconduct, the employer must conduct a fair hearing. The hearing must meet the following requirements:</w:t>
      </w:r>
    </w:p>
    <w:p>
      <w:pPr>
        <w:pStyle w:val="ListBullet"/>
      </w:pPr>
      <w:r>
        <w:t>The employee must be given reasonable notice of the charges against them (in writing);</w:t>
      </w:r>
    </w:p>
    <w:p>
      <w:pPr>
        <w:pStyle w:val="ListBullet"/>
      </w:pPr>
      <w:r>
        <w:t>The charges must be specific enough for the employee to prepare a defence;</w:t>
      </w:r>
    </w:p>
    <w:p>
      <w:pPr>
        <w:pStyle w:val="ListBullet"/>
      </w:pPr>
      <w:r>
        <w:t>The employee must be informed of the right to be represented by a fellow employee or trade union representative;</w:t>
      </w:r>
    </w:p>
    <w:p>
      <w:pPr>
        <w:pStyle w:val="ListBullet"/>
      </w:pPr>
      <w:r>
        <w:t>The employee must be given a reasonable opportunity to respond to the charges, present evidence, call witnesses, and cross-examine the employer's witnesses;</w:t>
      </w:r>
    </w:p>
    <w:p>
      <w:pPr>
        <w:pStyle w:val="ListBullet"/>
      </w:pPr>
      <w:r>
        <w:t>The chairperson of the hearing must be unbiased and should not be the complainant or direct supervisor (where possible);</w:t>
      </w:r>
    </w:p>
    <w:p>
      <w:pPr>
        <w:pStyle w:val="ListBullet"/>
      </w:pPr>
      <w:r>
        <w:t>The decision must be communicated to the employee in writing, with reasons and the right to appeal or refer the matter to the CCMA.</w:t>
      </w:r>
    </w:p>
    <w:p>
      <w:pPr>
        <w:pStyle w:val="Heading2"/>
      </w:pPr>
      <w:r>
        <w:t>6. CCMA Dispute Resolution</w:t>
      </w:r>
    </w:p>
    <w:p>
      <w:r>
        <w:t>The Commission for Conciliation, Mediation and Arbitration (CCMA) is the primary body for resolving employment disputes in South Africa. The process operates as follows:</w:t>
      </w:r>
    </w:p>
    <w:p>
      <w:pPr>
        <w:pStyle w:val="Heading3"/>
      </w:pPr>
      <w:r>
        <w:t>6.1 Referral</w:t>
      </w:r>
    </w:p>
    <w:p>
      <w:r>
        <w:t>An employee who believes they have been unfairly dismissed or subjected to an unfair labour practice must refer the dispute to the CCMA within 30 calendar days of the date of dismissal (or the date of the unfair conduct). Late referrals may be condoned in exceptional circumstances.</w:t>
      </w:r>
    </w:p>
    <w:p>
      <w:pPr>
        <w:pStyle w:val="Heading3"/>
      </w:pPr>
      <w:r>
        <w:t>6.2 Conciliation</w:t>
      </w:r>
    </w:p>
    <w:p>
      <w:r>
        <w:t>The CCMA will first attempt to resolve the dispute through conciliation (a facilitated negotiation). Conciliation must be completed within 30 days of referral. If the dispute is resolved, the terms are recorded in a settlement agreement that is binding and enforceable as an arbitration award.</w:t>
      </w:r>
    </w:p>
    <w:p>
      <w:pPr>
        <w:pStyle w:val="Heading3"/>
      </w:pPr>
      <w:r>
        <w:t>6.3 Arbitration</w:t>
      </w:r>
    </w:p>
    <w:p>
      <w:r>
        <w:t>If conciliation fails, the matter proceeds to arbitration (for unfair dismissal disputes) or the Labour Court (for automatically unfair dismissals and certain other matters). The CCMA arbitrator will hear evidence, make findings of fact, and issue a binding award. The employer bears the burden of proving the dismissal was fair.</w:t>
      </w:r>
    </w:p>
    <w:p>
      <w:pPr>
        <w:pStyle w:val="Heading2"/>
      </w:pPr>
      <w:r>
        <w:t>7. Protected Strikes and Lockouts</w:t>
      </w:r>
    </w:p>
    <w:p>
      <w:r>
        <w:t>The LRA protects the right of employees to strike and the right of employers to lock out, provided the procedural requirements are met:</w:t>
      </w:r>
    </w:p>
    <w:p>
      <w:pPr>
        <w:pStyle w:val="ListBullet"/>
      </w:pPr>
      <w:r>
        <w:t>The dispute must first be referred to the CCMA for conciliation;</w:t>
      </w:r>
    </w:p>
    <w:p>
      <w:pPr>
        <w:pStyle w:val="ListBullet"/>
      </w:pPr>
      <w:r>
        <w:t>A certificate of non-resolution must be issued, or 30 days must have elapsed since the referral;</w:t>
      </w:r>
    </w:p>
    <w:p>
      <w:pPr>
        <w:pStyle w:val="ListBullet"/>
      </w:pPr>
      <w:r>
        <w:t>48 hours' written notice of the strike or lockout must be given;</w:t>
      </w:r>
    </w:p>
    <w:p>
      <w:pPr>
        <w:pStyle w:val="ListBullet"/>
      </w:pPr>
      <w:r>
        <w:t>No employee may be dismissed or disciplined for participating in a protected strike;</w:t>
      </w:r>
    </w:p>
    <w:p>
      <w:pPr>
        <w:pStyle w:val="ListBullet"/>
      </w:pPr>
      <w:r>
        <w:t>Unprotected strikes (those not following the correct procedure) may result in interdicts, damages claims, or dismissal.</w:t>
      </w:r>
    </w:p>
    <w:p>
      <w:pPr>
        <w:pStyle w:val="Heading2"/>
      </w:pPr>
      <w:r>
        <w:t>8. Unfair Dismissal and Unfair Labour Practices</w:t>
      </w:r>
    </w:p>
    <w:p>
      <w:r>
        <w:t>An employee may challenge a dismissal as unfair if the employer cannot demonstrate both a fair reason and a fair procedure. Remedies for unfair dismissal include:</w:t>
      </w:r>
    </w:p>
    <w:p>
      <w:pPr>
        <w:pStyle w:val="ListBullet"/>
      </w:pPr>
      <w:r>
        <w:t>Reinstatement (the employee is restored to the position they held before dismissal);</w:t>
      </w:r>
    </w:p>
    <w:p>
      <w:pPr>
        <w:pStyle w:val="ListBullet"/>
      </w:pPr>
      <w:r>
        <w:t>Re-employment (the employee is employed in a comparable position);</w:t>
      </w:r>
    </w:p>
    <w:p>
      <w:pPr>
        <w:pStyle w:val="ListBullet"/>
      </w:pPr>
      <w:r>
        <w:t>Compensation (up to 12 months' remuneration, or 24 months for automatically unfair dismissals).</w:t>
      </w:r>
    </w:p>
    <w:p>
      <w:r>
        <w:t>Unfair labour practices include unfair conduct relating to promotion, demotion, probation, training, provision of benefits, suspension, and failure to reinstate or re-employ a former employee.</w:t>
      </w:r>
    </w:p>
    <w:p>
      <w:pPr>
        <w:pStyle w:val="Heading2"/>
      </w:pPr>
      <w:r>
        <w:t>9. Automatically Unfair Dismissals</w:t>
      </w:r>
    </w:p>
    <w:p>
      <w:r>
        <w:t>Section 187 of the LRA identifies dismissals that are automatically unfair, regardless of whether a fair procedure was followed. These include dismissals based on:</w:t>
      </w:r>
    </w:p>
    <w:p>
      <w:pPr>
        <w:pStyle w:val="ListBullet"/>
      </w:pPr>
      <w:r>
        <w:t>The employee's pregnancy, intended pregnancy, or any reason related to pregnancy;</w:t>
      </w:r>
    </w:p>
    <w:p>
      <w:pPr>
        <w:pStyle w:val="ListBullet"/>
      </w:pPr>
      <w:r>
        <w:t>The employee's participation or intended participation in lawful trade union activities or protected strikes;</w:t>
      </w:r>
    </w:p>
    <w:p>
      <w:pPr>
        <w:pStyle w:val="ListBullet"/>
      </w:pPr>
      <w:r>
        <w:t>The employee's refusal to agree to a demand in respect of any matter of mutual interest between employer and employee;</w:t>
      </w:r>
    </w:p>
    <w:p>
      <w:pPr>
        <w:pStyle w:val="ListBullet"/>
      </w:pPr>
      <w:r>
        <w:t>The employee's exercise of any right conferred by the LRA or other employment legislation;</w:t>
      </w:r>
    </w:p>
    <w:p>
      <w:pPr>
        <w:pStyle w:val="ListBullet"/>
      </w:pPr>
      <w:r>
        <w:t>Discrimination on any arbitrary ground, including race, gender, sex, ethnic or social origin, colour, sexual orientation, age, disability, religion, conscience, belief, political opinion, culture, language, marital status, or family responsibility;</w:t>
      </w:r>
    </w:p>
    <w:p>
      <w:pPr>
        <w:pStyle w:val="ListBullet"/>
      </w:pPr>
      <w:r>
        <w:t>A transfer or merger of the business under Section 197 of the LRA;</w:t>
      </w:r>
    </w:p>
    <w:p>
      <w:pPr>
        <w:pStyle w:val="ListBullet"/>
      </w:pPr>
      <w:r>
        <w:t>A protected disclosure (whistleblowing) under the Protected Disclosures Act 26 of 2000.</w:t>
      </w:r>
    </w:p>
    <w:p>
      <w:r>
        <w:t>Compensation for automatically unfair dismissal may be up to 24 months' remuneration.</w:t>
      </w:r>
    </w:p>
    <w:p>
      <w:pPr>
        <w:pStyle w:val="Heading2"/>
      </w:pPr>
      <w:r>
        <w:t>10. New Code of Good Practice on Dismissal (September 2025 Update)</w:t>
      </w:r>
    </w:p>
    <w:p>
      <w:r>
        <w:t>The updated Code of Good Practice on Dismissal (Government Gazette, September 2025) introduced the following clarifications and updates:</w:t>
      </w:r>
    </w:p>
    <w:p>
      <w:pPr>
        <w:pStyle w:val="ListBullet"/>
      </w:pPr>
      <w:r>
        <w:t>Reinforcement of the requirement for employers to apply progressive discipline, reserving summary dismissal for cases of gross misconduct;</w:t>
      </w:r>
    </w:p>
    <w:p>
      <w:pPr>
        <w:pStyle w:val="ListBullet"/>
      </w:pPr>
      <w:r>
        <w:t>Expanded guidance on the investigation process, emphasizing the need for thorough and unbiased investigation before initiating formal charges;</w:t>
      </w:r>
    </w:p>
    <w:p>
      <w:pPr>
        <w:pStyle w:val="ListBullet"/>
      </w:pPr>
      <w:r>
        <w:t>Updated guidelines on the use of suspension (including precautionary suspension), requiring employers to review the necessity of continued suspension at regular intervals;</w:t>
      </w:r>
    </w:p>
    <w:p>
      <w:pPr>
        <w:pStyle w:val="ListBullet"/>
      </w:pPr>
      <w:r>
        <w:t>Clarification that dismissal for a first offence is only appropriate where the misconduct is so serious that it makes a continued employment relationship intolerable;</w:t>
      </w:r>
    </w:p>
    <w:p>
      <w:pPr>
        <w:pStyle w:val="ListBullet"/>
      </w:pPr>
      <w:r>
        <w:t>Enhanced guidance on the role of the chairperson in disciplinary hearings, including the expectation of independence and impartiality;</w:t>
      </w:r>
    </w:p>
    <w:p>
      <w:pPr>
        <w:pStyle w:val="ListBullet"/>
      </w:pPr>
      <w:r>
        <w:t>Emphasis on the duty of the employer to consider the employee's personal circumstances, length of service, and disciplinary record as mitigating factors before deciding on dismissal.</w:t>
      </w:r>
    </w:p>
    <w:p>
      <w:pPr>
        <w:pStyle w:val="Heading2"/>
      </w:pPr>
      <w:r>
        <w:t>11. Policy Review</w:t>
      </w:r>
    </w:p>
    <w:p>
      <w:r>
        <w:t>This policy will be reviewed annually, or as required by amendments to the LRA, the Code of Good Practice, or decisions of the CCMA, Labour Court, or Labour Appeal Court.</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LRA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