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New Employee Onboarding Playbook</w:t>
      </w:r>
    </w:p>
    <w:p>
      <w:pPr>
        <w:pStyle w:val="Heading1"/>
      </w:pPr>
      <w:r>
        <w:t>South Africa Onboarding Playbook</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[ONBOARD-SA-001]</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playbook provides a structured, legally compliant onboarding process for new employees joining [COMPANY NAME] in South Africa. It ensures all statutory, regulatory, and company-specific requirements are met, and provides a positive first experience for the new employee. Compliance items are mapped to the relevant legislation (BCEA, LRA, OHSA, COIDA, UIF, EEA).</w:t>
      </w:r>
    </w:p>
    <w:p>
      <w:pPr>
        <w:pStyle w:val="Heading2"/>
      </w:pPr>
      <w:r>
        <w:t>2. Pre-Start (Before Day 1)</w:t>
      </w:r>
    </w:p>
    <w:p>
      <w:r>
        <w:t>The following must be completed before the employee's first day of work:</w:t>
      </w:r>
    </w:p>
    <w:p>
      <w:pPr>
        <w:pStyle w:val="Heading3"/>
      </w:pPr>
      <w:r>
        <w:t>2.1 Documentation Collection</w:t>
      </w:r>
    </w:p>
    <w:p>
      <w:pPr>
        <w:pStyle w:val="ListBullet"/>
      </w:pPr>
      <w:r>
        <w:t>Certified copy of South African Identity Document (ID) or valid work permit/visa (for foreign nationals);</w:t>
      </w:r>
    </w:p>
    <w:p>
      <w:pPr>
        <w:pStyle w:val="ListBullet"/>
      </w:pPr>
      <w:r>
        <w:t>IRP5 tax reference number (if available from previous employer) or completion of the IT77 form to register with SARS;</w:t>
      </w:r>
    </w:p>
    <w:p>
      <w:pPr>
        <w:pStyle w:val="ListBullet"/>
      </w:pPr>
      <w:r>
        <w:t>Bank account details (for salary payment via EFT -- bank name, branch code, account number);</w:t>
      </w:r>
    </w:p>
    <w:p>
      <w:pPr>
        <w:pStyle w:val="ListBullet"/>
      </w:pPr>
      <w:r>
        <w:t>Tax number (or application for a tax number if the employee does not have one);</w:t>
      </w:r>
    </w:p>
    <w:p>
      <w:pPr>
        <w:pStyle w:val="ListBullet"/>
      </w:pPr>
      <w:r>
        <w:t>Proof of residential address (not older than 3 months);</w:t>
      </w:r>
    </w:p>
    <w:p>
      <w:pPr>
        <w:pStyle w:val="ListBullet"/>
      </w:pPr>
      <w:r>
        <w:t>Highest qualification certificates (certified copies);</w:t>
      </w:r>
    </w:p>
    <w:p>
      <w:pPr>
        <w:pStyle w:val="ListBullet"/>
      </w:pPr>
      <w:r>
        <w:t>Criminal record check (where applicable for the role);</w:t>
      </w:r>
    </w:p>
    <w:p>
      <w:pPr>
        <w:pStyle w:val="ListBullet"/>
      </w:pPr>
      <w:r>
        <w:t>Reference check completion and clearance.</w:t>
      </w:r>
    </w:p>
    <w:p>
      <w:pPr>
        <w:pStyle w:val="Heading3"/>
      </w:pPr>
      <w:r>
        <w:t>2.2 Employment Contract</w:t>
      </w:r>
    </w:p>
    <w:p>
      <w:pPr>
        <w:pStyle w:val="ListBullet"/>
      </w:pPr>
      <w:r>
        <w:t>The written contract of employment must be provided to the employee before or on the first day of work, as required by Section 29 of the BCEA;</w:t>
      </w:r>
    </w:p>
    <w:p>
      <w:pPr>
        <w:pStyle w:val="ListBullet"/>
      </w:pPr>
      <w:r>
        <w:t>The contract must contain the prescribed particulars: full name of employer and employee, place of work, job title and description, date of commencement, ordinary hours of work, remuneration, leave entitlements, notice period, and any applicable Bargaining Council agreement;</w:t>
      </w:r>
    </w:p>
    <w:p>
      <w:pPr>
        <w:pStyle w:val="ListBullet"/>
      </w:pPr>
      <w:r>
        <w:t>The employee must sign and return the contract. A copy must be retained by the employer and a copy provided to the employee.</w:t>
      </w:r>
    </w:p>
    <w:p>
      <w:pPr>
        <w:pStyle w:val="Heading3"/>
      </w:pPr>
      <w:r>
        <w:t>2.3 System Setup</w:t>
      </w:r>
    </w:p>
    <w:p>
      <w:pPr>
        <w:pStyle w:val="ListBullet"/>
      </w:pPr>
      <w:r>
        <w:t>Create employee record in HR/payroll system;</w:t>
      </w:r>
    </w:p>
    <w:p>
      <w:pPr>
        <w:pStyle w:val="ListBullet"/>
      </w:pPr>
      <w:r>
        <w:t>Register employee for UIF (via next EMP201 submission to SARS);</w:t>
      </w:r>
    </w:p>
    <w:p>
      <w:pPr>
        <w:pStyle w:val="ListBullet"/>
      </w:pPr>
      <w:r>
        <w:t>Set up access credentials, email, and IT equipment;</w:t>
      </w:r>
    </w:p>
    <w:p>
      <w:pPr>
        <w:pStyle w:val="ListBullet"/>
      </w:pPr>
      <w:r>
        <w:t>Assign workspace, tools, and PPE (if applicable).</w:t>
      </w:r>
    </w:p>
    <w:p>
      <w:pPr>
        <w:pStyle w:val="Heading2"/>
      </w:pPr>
      <w:r>
        <w:t>3. Day 1 -- Orientation and Induction</w:t>
      </w:r>
    </w:p>
    <w:p>
      <w:pPr>
        <w:pStyle w:val="Heading3"/>
      </w:pPr>
      <w:r>
        <w:t>3.1 OHSA Safety Induction (Mandatory Before Work Starts)</w:t>
      </w:r>
    </w:p>
    <w:p>
      <w:r>
        <w:rPr>
          <w:b/>
        </w:rPr>
        <w:t>No employee may commence any work before completing the OHSA safety induction.</w:t>
      </w:r>
    </w:p>
    <w:p>
      <w:pPr>
        <w:pStyle w:val="ListBullet"/>
      </w:pPr>
      <w:r>
        <w:t>General workplace safety rules and emergency procedures;</w:t>
      </w:r>
    </w:p>
    <w:p>
      <w:pPr>
        <w:pStyle w:val="ListBullet"/>
      </w:pPr>
      <w:r>
        <w:t>Location of fire extinguishers, first aid kits, and emergency exits;</w:t>
      </w:r>
    </w:p>
    <w:p>
      <w:pPr>
        <w:pStyle w:val="ListBullet"/>
      </w:pPr>
      <w:r>
        <w:t>Identification of health and safety representative(s) and committee;</w:t>
      </w:r>
    </w:p>
    <w:p>
      <w:pPr>
        <w:pStyle w:val="ListBullet"/>
      </w:pPr>
      <w:r>
        <w:t>Reporting procedures for accidents, incidents, and near-misses;</w:t>
      </w:r>
    </w:p>
    <w:p>
      <w:pPr>
        <w:pStyle w:val="ListBullet"/>
      </w:pPr>
      <w:r>
        <w:t>PPE requirements for the employee's role (if applicable);</w:t>
      </w:r>
    </w:p>
    <w:p>
      <w:pPr>
        <w:pStyle w:val="ListBullet"/>
      </w:pPr>
      <w:r>
        <w:t>Signed acknowledgment of safety induction must be retained on file.</w:t>
      </w:r>
    </w:p>
    <w:p>
      <w:pPr>
        <w:pStyle w:val="Heading3"/>
      </w:pPr>
      <w:r>
        <w:t>3.2 Administrative Onboarding</w:t>
      </w:r>
    </w:p>
    <w:p>
      <w:pPr>
        <w:pStyle w:val="ListBullet"/>
      </w:pPr>
      <w:r>
        <w:t>Welcome and introductions to team, manager, and HR;</w:t>
      </w:r>
    </w:p>
    <w:p>
      <w:pPr>
        <w:pStyle w:val="ListBullet"/>
      </w:pPr>
      <w:r>
        <w:t>Office tour (physical or virtual);</w:t>
      </w:r>
    </w:p>
    <w:p>
      <w:pPr>
        <w:pStyle w:val="ListBullet"/>
      </w:pPr>
      <w:r>
        <w:t>Review and acknowledgment of key policies: Code of Conduct, Disciplinary Code, Leave Policy, Health and Safety Policy;</w:t>
      </w:r>
    </w:p>
    <w:p>
      <w:pPr>
        <w:pStyle w:val="ListBullet"/>
      </w:pPr>
      <w:r>
        <w:t>IT setup and systems orientation;</w:t>
      </w:r>
    </w:p>
    <w:p>
      <w:pPr>
        <w:pStyle w:val="ListBullet"/>
      </w:pPr>
      <w:r>
        <w:t>Issue employee handbook (hard copy or electronic).</w:t>
      </w:r>
    </w:p>
    <w:p>
      <w:pPr>
        <w:pStyle w:val="Heading2"/>
      </w:pPr>
      <w:r>
        <w:t>4. Week 1 -- Statutory Registrations and Benefits Enrolment</w:t>
      </w:r>
    </w:p>
    <w:p>
      <w:pPr>
        <w:pStyle w:val="Heading3"/>
      </w:pPr>
      <w:r>
        <w:t>4.1 UIF Registration</w:t>
      </w:r>
    </w:p>
    <w:p>
      <w:r>
        <w:t>Confirm that the employee has been included in the UIF contribution records for the next EMP201 submission. Ensure the employee's ID number and banking details are correctly captured.</w:t>
      </w:r>
    </w:p>
    <w:p>
      <w:pPr>
        <w:pStyle w:val="Heading3"/>
      </w:pPr>
      <w:r>
        <w:t>4.2 Provident / Pension Fund Enrolment</w:t>
      </w:r>
    </w:p>
    <w:p>
      <w:pPr>
        <w:pStyle w:val="ListBullet"/>
      </w:pPr>
      <w:r>
        <w:t>If [COMPANY NAME] offers a provident fund or pension fund, enrol the employee within the prescribed period (typically from the first day of employment or after a probationary period, as specified in the fund rules);</w:t>
      </w:r>
    </w:p>
    <w:p>
      <w:pPr>
        <w:pStyle w:val="ListBullet"/>
      </w:pPr>
      <w:r>
        <w:t>Provide the employee with a copy of the fund rules, the member guide, and the nomination of beneficiaries form;</w:t>
      </w:r>
    </w:p>
    <w:p>
      <w:pPr>
        <w:pStyle w:val="ListBullet"/>
      </w:pPr>
      <w:r>
        <w:t>Explain the employee and employer contribution rates, vesting periods, and withdrawal rules.</w:t>
      </w:r>
    </w:p>
    <w:p>
      <w:pPr>
        <w:pStyle w:val="Heading3"/>
      </w:pPr>
      <w:r>
        <w:t>4.3 Medical Aid Enrolment</w:t>
      </w:r>
    </w:p>
    <w:p>
      <w:pPr>
        <w:pStyle w:val="ListBullet"/>
      </w:pPr>
      <w:r>
        <w:t>If [COMPANY NAME] offers group medical aid, provide the employee with scheme options, costs, and enrolment forms;</w:t>
      </w:r>
    </w:p>
    <w:p>
      <w:pPr>
        <w:pStyle w:val="ListBullet"/>
      </w:pPr>
      <w:r>
        <w:t>Membership typically commences from the first day of employment or within 30 days (per scheme rules);</w:t>
      </w:r>
    </w:p>
    <w:p>
      <w:pPr>
        <w:pStyle w:val="ListBullet"/>
      </w:pPr>
      <w:r>
        <w:t>Explain the employer subsidy (if applicable) and the employee's co-payment obligations.</w:t>
      </w:r>
    </w:p>
    <w:p>
      <w:pPr>
        <w:pStyle w:val="Heading3"/>
      </w:pPr>
      <w:r>
        <w:t>4.4 EEA Self-Declaration Form</w:t>
      </w:r>
    </w:p>
    <w:p>
      <w:r>
        <w:t>In accordance with the Employment Equity Act, the employee should complete a self-declaration form indicating their race, gender, and disability status (if any). This information is used for EE reporting purposes and is voluntary. The form must be kept confidential and used solely for employment equity planning and reporting.</w:t>
      </w:r>
    </w:p>
    <w:p>
      <w:pPr>
        <w:pStyle w:val="Heading2"/>
      </w:pPr>
      <w:r>
        <w:t>5. Probation Period</w:t>
      </w:r>
    </w:p>
    <w:p>
      <w:r>
        <w:t>Probation at [COMPANY NAME] is typically three to six months, as specified in the employment contract. In accordance with the LRA and the Code of Good Practice on Dismissal:</w:t>
      </w:r>
    </w:p>
    <w:p>
      <w:pPr>
        <w:pStyle w:val="ListBullet"/>
      </w:pPr>
      <w:r>
        <w:t>Probation is an extension of the selection process, not a licence to dismiss without process;</w:t>
      </w:r>
    </w:p>
    <w:p>
      <w:pPr>
        <w:pStyle w:val="ListBullet"/>
      </w:pPr>
      <w:r>
        <w:t>The employer must set clear performance standards at the outset and communicate them to the employee;</w:t>
      </w:r>
    </w:p>
    <w:p>
      <w:pPr>
        <w:pStyle w:val="ListBullet"/>
      </w:pPr>
      <w:r>
        <w:t>The employer must provide appropriate training, instruction, evaluation, and guidance during probation;</w:t>
      </w:r>
    </w:p>
    <w:p>
      <w:pPr>
        <w:pStyle w:val="ListBullet"/>
      </w:pPr>
      <w:r>
        <w:t>Regular performance discussions should take place during probation;</w:t>
      </w:r>
    </w:p>
    <w:p>
      <w:pPr>
        <w:pStyle w:val="ListBullet"/>
      </w:pPr>
      <w:r>
        <w:t>If the employee's performance is not satisfactory, the employer must counsel the employee and allow a reasonable opportunity to improve;</w:t>
      </w:r>
    </w:p>
    <w:p>
      <w:pPr>
        <w:pStyle w:val="ListBullet"/>
      </w:pPr>
      <w:r>
        <w:t>Dismissal during probation requires substantive and procedural fairness (although the standard of fairness may be less rigid than for a permanent employee);</w:t>
      </w:r>
    </w:p>
    <w:p>
      <w:pPr>
        <w:pStyle w:val="ListBullet"/>
      </w:pPr>
      <w:r>
        <w:t>The employee has the right to refer an unfair dismissal dispute to the CCMA even during probation.</w:t>
      </w:r>
    </w:p>
    <w:p>
      <w:pPr>
        <w:pStyle w:val="Heading2"/>
      </w:pPr>
      <w:r>
        <w:t>6. 30 / 60 / 90-Day Check-ins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1A3A5C"/>
          </w:tcPr>
          <w:p>
            <w:r>
              <w:rPr>
                <w:rFonts w:ascii="Calibri" w:hAnsi="Calibri"/>
                <w:b/>
                <w:color w:val="FFFFFF"/>
                <w:sz w:val="20"/>
              </w:rPr>
              <w:t>Milestone</w:t>
            </w:r>
          </w:p>
        </w:tc>
        <w:tc>
          <w:tcPr>
            <w:tcW w:type="dxa" w:w="2880"/>
            <w:shd w:fill="1A3A5C"/>
          </w:tcPr>
          <w:p>
            <w:r>
              <w:rPr>
                <w:rFonts w:ascii="Calibri" w:hAnsi="Calibri"/>
                <w:b/>
                <w:color w:val="FFFFFF"/>
                <w:sz w:val="20"/>
              </w:rPr>
              <w:t>Focus Areas</w:t>
            </w:r>
          </w:p>
        </w:tc>
        <w:tc>
          <w:tcPr>
            <w:tcW w:type="dxa" w:w="2880"/>
            <w:shd w:fill="1A3A5C"/>
          </w:tcPr>
          <w:p>
            <w:r>
              <w:rPr>
                <w:rFonts w:ascii="Calibri" w:hAnsi="Calibri"/>
                <w:b/>
                <w:color w:val="FFFFFF"/>
                <w:sz w:val="20"/>
              </w:rPr>
              <w:t>Actions</w:t>
            </w:r>
          </w:p>
        </w:tc>
      </w:tr>
      <w:tr>
        <w:tc>
          <w:tcPr>
            <w:tcW w:type="dxa" w:w="2880"/>
          </w:tcPr>
          <w:p>
            <w:r/>
            <w:r>
              <w:rPr>
                <w:rFonts w:ascii="Calibri" w:hAnsi="Calibri"/>
                <w:b/>
                <w:sz w:val="20"/>
              </w:rPr>
              <w:t>30 Days</w:t>
            </w:r>
          </w:p>
        </w:tc>
        <w:tc>
          <w:tcPr>
            <w:tcW w:type="dxa" w:w="2880"/>
          </w:tcPr>
          <w:p>
            <w:r/>
            <w:r>
              <w:rPr>
                <w:rFonts w:ascii="Calibri" w:hAnsi="Calibri"/>
                <w:sz w:val="20"/>
              </w:rPr>
              <w:t>Settling in, initial training progress, cultural fit</w:t>
            </w:r>
          </w:p>
        </w:tc>
        <w:tc>
          <w:tcPr>
            <w:tcW w:type="dxa" w:w="2880"/>
          </w:tcPr>
          <w:p>
            <w:r/>
            <w:r>
              <w:rPr>
                <w:rFonts w:ascii="Calibri" w:hAnsi="Calibri"/>
                <w:sz w:val="20"/>
              </w:rPr>
              <w:t>Manager-employee check-in; review training completion; address concerns; verify payroll accuracy</w:t>
            </w:r>
          </w:p>
        </w:tc>
      </w:tr>
      <w:tr>
        <w:tc>
          <w:tcPr>
            <w:tcW w:type="dxa" w:w="2880"/>
          </w:tcPr>
          <w:p>
            <w:r/>
            <w:r>
              <w:rPr>
                <w:rFonts w:ascii="Calibri" w:hAnsi="Calibri"/>
                <w:b/>
                <w:sz w:val="20"/>
              </w:rPr>
              <w:t>60 Days</w:t>
            </w:r>
          </w:p>
        </w:tc>
        <w:tc>
          <w:tcPr>
            <w:tcW w:type="dxa" w:w="2880"/>
          </w:tcPr>
          <w:p>
            <w:r/>
            <w:r>
              <w:rPr>
                <w:rFonts w:ascii="Calibri" w:hAnsi="Calibri"/>
                <w:sz w:val="20"/>
              </w:rPr>
              <w:t>Performance progress, deepening of role knowledge</w:t>
            </w:r>
          </w:p>
        </w:tc>
        <w:tc>
          <w:tcPr>
            <w:tcW w:type="dxa" w:w="2880"/>
          </w:tcPr>
          <w:p>
            <w:r/>
            <w:r>
              <w:rPr>
                <w:rFonts w:ascii="Calibri" w:hAnsi="Calibri"/>
                <w:sz w:val="20"/>
              </w:rPr>
              <w:t>Formal mid-probation review; documented performance feedback; identify development needs</w:t>
            </w:r>
          </w:p>
        </w:tc>
      </w:tr>
      <w:tr>
        <w:tc>
          <w:tcPr>
            <w:tcW w:type="dxa" w:w="2880"/>
          </w:tcPr>
          <w:p>
            <w:r/>
            <w:r>
              <w:rPr>
                <w:rFonts w:ascii="Calibri" w:hAnsi="Calibri"/>
                <w:b/>
                <w:sz w:val="20"/>
              </w:rPr>
              <w:t>90 Days</w:t>
            </w:r>
          </w:p>
        </w:tc>
        <w:tc>
          <w:tcPr>
            <w:tcW w:type="dxa" w:w="2880"/>
          </w:tcPr>
          <w:p>
            <w:r/>
            <w:r>
              <w:rPr>
                <w:rFonts w:ascii="Calibri" w:hAnsi="Calibri"/>
                <w:sz w:val="20"/>
              </w:rPr>
              <w:t>Probation assessment, confirmation or extension</w:t>
            </w:r>
          </w:p>
        </w:tc>
        <w:tc>
          <w:tcPr>
            <w:tcW w:type="dxa" w:w="2880"/>
          </w:tcPr>
          <w:p>
            <w:r/>
            <w:r>
              <w:rPr>
                <w:rFonts w:ascii="Calibri" w:hAnsi="Calibri"/>
                <w:sz w:val="20"/>
              </w:rPr>
              <w:t>End-of-probation review; decision to confirm, extend, or terminate; documented outcome</w:t>
            </w:r>
          </w:p>
        </w:tc>
      </w:tr>
    </w:tbl>
    <w:p/>
    <w:p>
      <w:pPr>
        <w:pStyle w:val="Heading2"/>
      </w:pPr>
      <w:r>
        <w:t>7. Onboarding Compliance Checklist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1A3A5C"/>
          </w:tcPr>
          <w:p>
            <w:r>
              <w:rPr>
                <w:rFonts w:ascii="Calibri" w:hAnsi="Calibri"/>
                <w:b/>
                <w:color w:val="FFFFFF"/>
                <w:sz w:val="20"/>
              </w:rPr>
              <w:t>Item</w:t>
            </w:r>
          </w:p>
        </w:tc>
        <w:tc>
          <w:tcPr>
            <w:tcW w:type="dxa" w:w="2880"/>
            <w:shd w:fill="1A3A5C"/>
          </w:tcPr>
          <w:p>
            <w:r>
              <w:rPr>
                <w:rFonts w:ascii="Calibri" w:hAnsi="Calibri"/>
                <w:b/>
                <w:color w:val="FFFFFF"/>
                <w:sz w:val="20"/>
              </w:rPr>
              <w:t>Legislation</w:t>
            </w:r>
          </w:p>
        </w:tc>
        <w:tc>
          <w:tcPr>
            <w:tcW w:type="dxa" w:w="2880"/>
            <w:shd w:fill="1A3A5C"/>
          </w:tcPr>
          <w:p>
            <w:r>
              <w:rPr>
                <w:rFonts w:ascii="Calibri" w:hAnsi="Calibri"/>
                <w:b/>
                <w:color w:val="FFFFFF"/>
                <w:sz w:val="20"/>
              </w:rPr>
              <w:t>Status</w:t>
            </w:r>
          </w:p>
        </w:tc>
      </w:tr>
      <w:tr>
        <w:tc>
          <w:tcPr>
            <w:tcW w:type="dxa" w:w="2880"/>
          </w:tcPr>
          <w:p>
            <w:r/>
            <w:r>
              <w:rPr>
                <w:rFonts w:ascii="Calibri" w:hAnsi="Calibri"/>
                <w:b/>
                <w:sz w:val="20"/>
              </w:rPr>
              <w:t>Written contract of employment provided</w:t>
            </w:r>
          </w:p>
        </w:tc>
        <w:tc>
          <w:tcPr>
            <w:tcW w:type="dxa" w:w="2880"/>
          </w:tcPr>
          <w:p>
            <w:r/>
            <w:r>
              <w:rPr>
                <w:rFonts w:ascii="Calibri" w:hAnsi="Calibri"/>
                <w:sz w:val="20"/>
              </w:rPr>
              <w:t>BCEA s.29</w:t>
            </w:r>
          </w:p>
        </w:tc>
        <w:tc>
          <w:tcPr>
            <w:tcW w:type="dxa" w:w="2880"/>
          </w:tcPr>
          <w:p>
            <w:r/>
            <w:r>
              <w:rPr>
                <w:rFonts w:ascii="Calibri" w:hAnsi="Calibri"/>
                <w:sz w:val="20"/>
              </w:rPr>
              <w:t>[  ]</w:t>
            </w:r>
          </w:p>
        </w:tc>
      </w:tr>
      <w:tr>
        <w:tc>
          <w:tcPr>
            <w:tcW w:type="dxa" w:w="2880"/>
          </w:tcPr>
          <w:p>
            <w:r/>
            <w:r>
              <w:rPr>
                <w:rFonts w:ascii="Calibri" w:hAnsi="Calibri"/>
                <w:b/>
                <w:sz w:val="20"/>
              </w:rPr>
              <w:t>OHSA safety induction completed (Day 1)</w:t>
            </w:r>
          </w:p>
        </w:tc>
        <w:tc>
          <w:tcPr>
            <w:tcW w:type="dxa" w:w="2880"/>
          </w:tcPr>
          <w:p>
            <w:r/>
            <w:r>
              <w:rPr>
                <w:rFonts w:ascii="Calibri" w:hAnsi="Calibri"/>
                <w:sz w:val="20"/>
              </w:rPr>
              <w:t>OHSA s.8</w:t>
            </w:r>
          </w:p>
        </w:tc>
        <w:tc>
          <w:tcPr>
            <w:tcW w:type="dxa" w:w="2880"/>
          </w:tcPr>
          <w:p>
            <w:r/>
            <w:r>
              <w:rPr>
                <w:rFonts w:ascii="Calibri" w:hAnsi="Calibri"/>
                <w:sz w:val="20"/>
              </w:rPr>
              <w:t>[  ]</w:t>
            </w:r>
          </w:p>
        </w:tc>
      </w:tr>
      <w:tr>
        <w:tc>
          <w:tcPr>
            <w:tcW w:type="dxa" w:w="2880"/>
          </w:tcPr>
          <w:p>
            <w:r/>
            <w:r>
              <w:rPr>
                <w:rFonts w:ascii="Calibri" w:hAnsi="Calibri"/>
                <w:b/>
                <w:sz w:val="20"/>
              </w:rPr>
              <w:t>Certified ID copy on file</w:t>
            </w:r>
          </w:p>
        </w:tc>
        <w:tc>
          <w:tcPr>
            <w:tcW w:type="dxa" w:w="2880"/>
          </w:tcPr>
          <w:p>
            <w:r/>
            <w:r>
              <w:rPr>
                <w:rFonts w:ascii="Calibri" w:hAnsi="Calibri"/>
                <w:sz w:val="20"/>
              </w:rPr>
              <w:t>BCEA / Company policy</w:t>
            </w:r>
          </w:p>
        </w:tc>
        <w:tc>
          <w:tcPr>
            <w:tcW w:type="dxa" w:w="2880"/>
          </w:tcPr>
          <w:p>
            <w:r/>
            <w:r>
              <w:rPr>
                <w:rFonts w:ascii="Calibri" w:hAnsi="Calibri"/>
                <w:sz w:val="20"/>
              </w:rPr>
              <w:t>[  ]</w:t>
            </w:r>
          </w:p>
        </w:tc>
      </w:tr>
      <w:tr>
        <w:tc>
          <w:tcPr>
            <w:tcW w:type="dxa" w:w="2880"/>
          </w:tcPr>
          <w:p>
            <w:r/>
            <w:r>
              <w:rPr>
                <w:rFonts w:ascii="Calibri" w:hAnsi="Calibri"/>
                <w:b/>
                <w:sz w:val="20"/>
              </w:rPr>
              <w:t>IRP5 / tax number captured</w:t>
            </w:r>
          </w:p>
        </w:tc>
        <w:tc>
          <w:tcPr>
            <w:tcW w:type="dxa" w:w="2880"/>
          </w:tcPr>
          <w:p>
            <w:r/>
            <w:r>
              <w:rPr>
                <w:rFonts w:ascii="Calibri" w:hAnsi="Calibri"/>
                <w:sz w:val="20"/>
              </w:rPr>
              <w:t>Income Tax Act</w:t>
            </w:r>
          </w:p>
        </w:tc>
        <w:tc>
          <w:tcPr>
            <w:tcW w:type="dxa" w:w="2880"/>
          </w:tcPr>
          <w:p>
            <w:r/>
            <w:r>
              <w:rPr>
                <w:rFonts w:ascii="Calibri" w:hAnsi="Calibri"/>
                <w:sz w:val="20"/>
              </w:rPr>
              <w:t>[  ]</w:t>
            </w:r>
          </w:p>
        </w:tc>
      </w:tr>
      <w:tr>
        <w:tc>
          <w:tcPr>
            <w:tcW w:type="dxa" w:w="2880"/>
          </w:tcPr>
          <w:p>
            <w:r/>
            <w:r>
              <w:rPr>
                <w:rFonts w:ascii="Calibri" w:hAnsi="Calibri"/>
                <w:b/>
                <w:sz w:val="20"/>
              </w:rPr>
              <w:t>Bank details captured for EFT salary</w:t>
            </w:r>
          </w:p>
        </w:tc>
        <w:tc>
          <w:tcPr>
            <w:tcW w:type="dxa" w:w="2880"/>
          </w:tcPr>
          <w:p>
            <w:r/>
            <w:r>
              <w:rPr>
                <w:rFonts w:ascii="Calibri" w:hAnsi="Calibri"/>
                <w:sz w:val="20"/>
              </w:rPr>
              <w:t>Company policy</w:t>
            </w:r>
          </w:p>
        </w:tc>
        <w:tc>
          <w:tcPr>
            <w:tcW w:type="dxa" w:w="2880"/>
          </w:tcPr>
          <w:p>
            <w:r/>
            <w:r>
              <w:rPr>
                <w:rFonts w:ascii="Calibri" w:hAnsi="Calibri"/>
                <w:sz w:val="20"/>
              </w:rPr>
              <w:t>[  ]</w:t>
            </w:r>
          </w:p>
        </w:tc>
      </w:tr>
      <w:tr>
        <w:tc>
          <w:tcPr>
            <w:tcW w:type="dxa" w:w="2880"/>
          </w:tcPr>
          <w:p>
            <w:r/>
            <w:r>
              <w:rPr>
                <w:rFonts w:ascii="Calibri" w:hAnsi="Calibri"/>
                <w:b/>
                <w:sz w:val="20"/>
              </w:rPr>
              <w:t>UIF registration confirmed</w:t>
            </w:r>
          </w:p>
        </w:tc>
        <w:tc>
          <w:tcPr>
            <w:tcW w:type="dxa" w:w="2880"/>
          </w:tcPr>
          <w:p>
            <w:r/>
            <w:r>
              <w:rPr>
                <w:rFonts w:ascii="Calibri" w:hAnsi="Calibri"/>
                <w:sz w:val="20"/>
              </w:rPr>
              <w:t>Unemployment Insurance Act</w:t>
            </w:r>
          </w:p>
        </w:tc>
        <w:tc>
          <w:tcPr>
            <w:tcW w:type="dxa" w:w="2880"/>
          </w:tcPr>
          <w:p>
            <w:r/>
            <w:r>
              <w:rPr>
                <w:rFonts w:ascii="Calibri" w:hAnsi="Calibri"/>
                <w:sz w:val="20"/>
              </w:rPr>
              <w:t>[  ]</w:t>
            </w:r>
          </w:p>
        </w:tc>
      </w:tr>
      <w:tr>
        <w:tc>
          <w:tcPr>
            <w:tcW w:type="dxa" w:w="2880"/>
          </w:tcPr>
          <w:p>
            <w:r/>
            <w:r>
              <w:rPr>
                <w:rFonts w:ascii="Calibri" w:hAnsi="Calibri"/>
                <w:b/>
                <w:sz w:val="20"/>
              </w:rPr>
              <w:t>Provident/pension fund enrolment</w:t>
            </w:r>
          </w:p>
        </w:tc>
        <w:tc>
          <w:tcPr>
            <w:tcW w:type="dxa" w:w="2880"/>
          </w:tcPr>
          <w:p>
            <w:r/>
            <w:r>
              <w:rPr>
                <w:rFonts w:ascii="Calibri" w:hAnsi="Calibri"/>
                <w:sz w:val="20"/>
              </w:rPr>
              <w:t>Fund rules</w:t>
            </w:r>
          </w:p>
        </w:tc>
        <w:tc>
          <w:tcPr>
            <w:tcW w:type="dxa" w:w="2880"/>
          </w:tcPr>
          <w:p>
            <w:r/>
            <w:r>
              <w:rPr>
                <w:rFonts w:ascii="Calibri" w:hAnsi="Calibri"/>
                <w:sz w:val="20"/>
              </w:rPr>
              <w:t>[  ]</w:t>
            </w:r>
          </w:p>
        </w:tc>
      </w:tr>
      <w:tr>
        <w:tc>
          <w:tcPr>
            <w:tcW w:type="dxa" w:w="2880"/>
          </w:tcPr>
          <w:p>
            <w:r/>
            <w:r>
              <w:rPr>
                <w:rFonts w:ascii="Calibri" w:hAnsi="Calibri"/>
                <w:b/>
                <w:sz w:val="20"/>
              </w:rPr>
              <w:t>Medical aid enrolment</w:t>
            </w:r>
          </w:p>
        </w:tc>
        <w:tc>
          <w:tcPr>
            <w:tcW w:type="dxa" w:w="2880"/>
          </w:tcPr>
          <w:p>
            <w:r/>
            <w:r>
              <w:rPr>
                <w:rFonts w:ascii="Calibri" w:hAnsi="Calibri"/>
                <w:sz w:val="20"/>
              </w:rPr>
              <w:t>Scheme rules</w:t>
            </w:r>
          </w:p>
        </w:tc>
        <w:tc>
          <w:tcPr>
            <w:tcW w:type="dxa" w:w="2880"/>
          </w:tcPr>
          <w:p>
            <w:r/>
            <w:r>
              <w:rPr>
                <w:rFonts w:ascii="Calibri" w:hAnsi="Calibri"/>
                <w:sz w:val="20"/>
              </w:rPr>
              <w:t>[  ]</w:t>
            </w:r>
          </w:p>
        </w:tc>
      </w:tr>
      <w:tr>
        <w:tc>
          <w:tcPr>
            <w:tcW w:type="dxa" w:w="2880"/>
          </w:tcPr>
          <w:p>
            <w:r/>
            <w:r>
              <w:rPr>
                <w:rFonts w:ascii="Calibri" w:hAnsi="Calibri"/>
                <w:b/>
                <w:sz w:val="20"/>
              </w:rPr>
              <w:t>EEA self-declaration form completed</w:t>
            </w:r>
          </w:p>
        </w:tc>
        <w:tc>
          <w:tcPr>
            <w:tcW w:type="dxa" w:w="2880"/>
          </w:tcPr>
          <w:p>
            <w:r/>
            <w:r>
              <w:rPr>
                <w:rFonts w:ascii="Calibri" w:hAnsi="Calibri"/>
                <w:sz w:val="20"/>
              </w:rPr>
              <w:t>EEA</w:t>
            </w:r>
          </w:p>
        </w:tc>
        <w:tc>
          <w:tcPr>
            <w:tcW w:type="dxa" w:w="2880"/>
          </w:tcPr>
          <w:p>
            <w:r/>
            <w:r>
              <w:rPr>
                <w:rFonts w:ascii="Calibri" w:hAnsi="Calibri"/>
                <w:sz w:val="20"/>
              </w:rPr>
              <w:t>[  ]</w:t>
            </w:r>
          </w:p>
        </w:tc>
      </w:tr>
      <w:tr>
        <w:tc>
          <w:tcPr>
            <w:tcW w:type="dxa" w:w="2880"/>
          </w:tcPr>
          <w:p>
            <w:r/>
            <w:r>
              <w:rPr>
                <w:rFonts w:ascii="Calibri" w:hAnsi="Calibri"/>
                <w:b/>
                <w:sz w:val="20"/>
              </w:rPr>
              <w:t>PPE issued (if applicable)</w:t>
            </w:r>
          </w:p>
        </w:tc>
        <w:tc>
          <w:tcPr>
            <w:tcW w:type="dxa" w:w="2880"/>
          </w:tcPr>
          <w:p>
            <w:r/>
            <w:r>
              <w:rPr>
                <w:rFonts w:ascii="Calibri" w:hAnsi="Calibri"/>
                <w:sz w:val="20"/>
              </w:rPr>
              <w:t>OHSA General Safety Regs</w:t>
            </w:r>
          </w:p>
        </w:tc>
        <w:tc>
          <w:tcPr>
            <w:tcW w:type="dxa" w:w="2880"/>
          </w:tcPr>
          <w:p>
            <w:r/>
            <w:r>
              <w:rPr>
                <w:rFonts w:ascii="Calibri" w:hAnsi="Calibri"/>
                <w:sz w:val="20"/>
              </w:rPr>
              <w:t>[  ]</w:t>
            </w:r>
          </w:p>
        </w:tc>
      </w:tr>
      <w:tr>
        <w:tc>
          <w:tcPr>
            <w:tcW w:type="dxa" w:w="2880"/>
          </w:tcPr>
          <w:p>
            <w:r/>
            <w:r>
              <w:rPr>
                <w:rFonts w:ascii="Calibri" w:hAnsi="Calibri"/>
                <w:b/>
                <w:sz w:val="20"/>
              </w:rPr>
              <w:t>Employee handbook acknowledged</w:t>
            </w:r>
          </w:p>
        </w:tc>
        <w:tc>
          <w:tcPr>
            <w:tcW w:type="dxa" w:w="2880"/>
          </w:tcPr>
          <w:p>
            <w:r/>
            <w:r>
              <w:rPr>
                <w:rFonts w:ascii="Calibri" w:hAnsi="Calibri"/>
                <w:sz w:val="20"/>
              </w:rPr>
              <w:t>Company policy</w:t>
            </w:r>
          </w:p>
        </w:tc>
        <w:tc>
          <w:tcPr>
            <w:tcW w:type="dxa" w:w="2880"/>
          </w:tcPr>
          <w:p>
            <w:r/>
            <w:r>
              <w:rPr>
                <w:rFonts w:ascii="Calibri" w:hAnsi="Calibri"/>
                <w:sz w:val="20"/>
              </w:rPr>
              <w:t>[  ]</w:t>
            </w:r>
          </w:p>
        </w:tc>
      </w:tr>
      <w:tr>
        <w:tc>
          <w:tcPr>
            <w:tcW w:type="dxa" w:w="2880"/>
          </w:tcPr>
          <w:p>
            <w:r/>
            <w:r>
              <w:rPr>
                <w:rFonts w:ascii="Calibri" w:hAnsi="Calibri"/>
                <w:b/>
                <w:sz w:val="20"/>
              </w:rPr>
              <w:t>Disciplinary code acknowledged</w:t>
            </w:r>
          </w:p>
        </w:tc>
        <w:tc>
          <w:tcPr>
            <w:tcW w:type="dxa" w:w="2880"/>
          </w:tcPr>
          <w:p>
            <w:r/>
            <w:r>
              <w:rPr>
                <w:rFonts w:ascii="Calibri" w:hAnsi="Calibri"/>
                <w:sz w:val="20"/>
              </w:rPr>
              <w:t>LRA / Company policy</w:t>
            </w:r>
          </w:p>
        </w:tc>
        <w:tc>
          <w:tcPr>
            <w:tcW w:type="dxa" w:w="2880"/>
          </w:tcPr>
          <w:p>
            <w:r/>
            <w:r>
              <w:rPr>
                <w:rFonts w:ascii="Calibri" w:hAnsi="Calibri"/>
                <w:sz w:val="20"/>
              </w:rPr>
              <w:t>[  ]</w:t>
            </w:r>
          </w:p>
        </w:tc>
      </w:tr>
      <w:tr>
        <w:tc>
          <w:tcPr>
            <w:tcW w:type="dxa" w:w="2880"/>
          </w:tcPr>
          <w:p>
            <w:r/>
            <w:r>
              <w:rPr>
                <w:rFonts w:ascii="Calibri" w:hAnsi="Calibri"/>
                <w:b/>
                <w:sz w:val="20"/>
              </w:rPr>
              <w:t>30-day check-in completed</w:t>
            </w:r>
          </w:p>
        </w:tc>
        <w:tc>
          <w:tcPr>
            <w:tcW w:type="dxa" w:w="2880"/>
          </w:tcPr>
          <w:p>
            <w:r/>
            <w:r>
              <w:rPr>
                <w:rFonts w:ascii="Calibri" w:hAnsi="Calibri"/>
                <w:sz w:val="20"/>
              </w:rPr>
              <w:t>Best practice</w:t>
            </w:r>
          </w:p>
        </w:tc>
        <w:tc>
          <w:tcPr>
            <w:tcW w:type="dxa" w:w="2880"/>
          </w:tcPr>
          <w:p>
            <w:r/>
            <w:r>
              <w:rPr>
                <w:rFonts w:ascii="Calibri" w:hAnsi="Calibri"/>
                <w:sz w:val="20"/>
              </w:rPr>
              <w:t>[  ]</w:t>
            </w:r>
          </w:p>
        </w:tc>
      </w:tr>
      <w:tr>
        <w:tc>
          <w:tcPr>
            <w:tcW w:type="dxa" w:w="2880"/>
          </w:tcPr>
          <w:p>
            <w:r/>
            <w:r>
              <w:rPr>
                <w:rFonts w:ascii="Calibri" w:hAnsi="Calibri"/>
                <w:b/>
                <w:sz w:val="20"/>
              </w:rPr>
              <w:t>60-day check-in completed</w:t>
            </w:r>
          </w:p>
        </w:tc>
        <w:tc>
          <w:tcPr>
            <w:tcW w:type="dxa" w:w="2880"/>
          </w:tcPr>
          <w:p>
            <w:r/>
            <w:r>
              <w:rPr>
                <w:rFonts w:ascii="Calibri" w:hAnsi="Calibri"/>
                <w:sz w:val="20"/>
              </w:rPr>
              <w:t>Best practice</w:t>
            </w:r>
          </w:p>
        </w:tc>
        <w:tc>
          <w:tcPr>
            <w:tcW w:type="dxa" w:w="2880"/>
          </w:tcPr>
          <w:p>
            <w:r/>
            <w:r>
              <w:rPr>
                <w:rFonts w:ascii="Calibri" w:hAnsi="Calibri"/>
                <w:sz w:val="20"/>
              </w:rPr>
              <w:t>[  ]</w:t>
            </w:r>
          </w:p>
        </w:tc>
      </w:tr>
      <w:tr>
        <w:tc>
          <w:tcPr>
            <w:tcW w:type="dxa" w:w="2880"/>
          </w:tcPr>
          <w:p>
            <w:r/>
            <w:r>
              <w:rPr>
                <w:rFonts w:ascii="Calibri" w:hAnsi="Calibri"/>
                <w:b/>
                <w:sz w:val="20"/>
              </w:rPr>
              <w:t>90-day probation review completed</w:t>
            </w:r>
          </w:p>
        </w:tc>
        <w:tc>
          <w:tcPr>
            <w:tcW w:type="dxa" w:w="2880"/>
          </w:tcPr>
          <w:p>
            <w:r/>
            <w:r>
              <w:rPr>
                <w:rFonts w:ascii="Calibri" w:hAnsi="Calibri"/>
                <w:sz w:val="20"/>
              </w:rPr>
              <w:t>LRA Code of Good Practice</w:t>
            </w:r>
          </w:p>
        </w:tc>
        <w:tc>
          <w:tcPr>
            <w:tcW w:type="dxa" w:w="2880"/>
          </w:tcPr>
          <w:p>
            <w:r/>
            <w:r>
              <w:rPr>
                <w:rFonts w:ascii="Calibri" w:hAnsi="Calibri"/>
                <w:sz w:val="20"/>
              </w:rPr>
              <w:t>[  ]</w:t>
            </w:r>
          </w:p>
        </w:tc>
      </w:tr>
    </w:tbl>
    <w:p/>
    <w:p>
      <w:pPr>
        <w:pStyle w:val="Heading2"/>
      </w:pPr>
      <w:r>
        <w:t>8. Policy Review</w:t>
      </w:r>
    </w:p>
    <w:p>
      <w:r>
        <w:t>This onboarding playbook will be reviewed annually, or as required by changes in legislation or company policy.</w:t>
      </w:r>
    </w:p>
    <w:p/>
    <w:p/>
    <w:p>
      <w:pPr>
        <w:jc w:val="center"/>
      </w:pPr>
      <w:r>
        <w:rPr>
          <w:i/>
          <w:color w:val="999999"/>
          <w:sz w:val="16"/>
        </w:rPr>
        <w:t>Prepared by [COMPANY NAME] | Onboarding Playbook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