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A5C"/>
          <w:sz w:val="44"/>
        </w:rPr>
        <w:t>[COMPANY NAME]</w:t>
      </w:r>
    </w:p>
    <w:p>
      <w:pPr>
        <w:jc w:val="center"/>
      </w:pPr>
      <w:r>
        <w:rPr>
          <w:rFonts w:ascii="Calibri" w:hAnsi="Calibri"/>
          <w:i/>
          <w:color w:val="666666"/>
          <w:sz w:val="22"/>
        </w:rPr>
        <w:t>[SOUTH AFRICA] -- Basic Conditions of Employment Act 75 of 1997</w:t>
      </w:r>
    </w:p>
    <w:p>
      <w:pPr>
        <w:pStyle w:val="Heading1"/>
      </w:pPr>
      <w:r>
        <w:t>Basic Conditions of Employment Act (BCEA) Policy</w:t>
      </w:r>
    </w:p>
    <w:p/>
    <w:tbl>
      <w:tblPr>
        <w:tblW w:type="auto" w:w="0"/>
        <w:tblLook w:firstColumn="1" w:firstRow="1" w:lastColumn="0" w:lastRow="0" w:noHBand="0" w:noVBand="1" w:val="04A0"/>
      </w:tblPr>
      <w:tblGrid>
        <w:gridCol w:w="4320"/>
        <w:gridCol w:w="4320"/>
      </w:tblGrid>
      <w:tr>
        <w:tc>
          <w:tcPr>
            <w:tcW w:type="dxa" w:w="4320"/>
          </w:tcPr>
          <w:p>
            <w:r/>
            <w:r>
              <w:rPr>
                <w:rFonts w:ascii="Calibri" w:hAnsi="Calibri"/>
                <w:sz w:val="20"/>
              </w:rPr>
              <w:t>Policy Number:</w:t>
            </w:r>
          </w:p>
        </w:tc>
        <w:tc>
          <w:tcPr>
            <w:tcW w:type="dxa" w:w="4320"/>
          </w:tcPr>
          <w:p>
            <w:r/>
            <w:r>
              <w:rPr>
                <w:rFonts w:ascii="Calibri" w:hAnsi="Calibri"/>
                <w:sz w:val="20"/>
              </w:rPr>
              <w:t>[POLICY-SA-001]</w:t>
            </w:r>
          </w:p>
        </w:tc>
      </w:tr>
      <w:tr>
        <w:tc>
          <w:tcPr>
            <w:tcW w:type="dxa" w:w="4320"/>
          </w:tcPr>
          <w:p>
            <w:r/>
            <w:r>
              <w:rPr>
                <w:rFonts w:ascii="Calibri" w:hAnsi="Calibri"/>
                <w:sz w:val="20"/>
              </w:rPr>
              <w:t>Version:</w:t>
            </w:r>
          </w:p>
        </w:tc>
        <w:tc>
          <w:tcPr>
            <w:tcW w:type="dxa" w:w="4320"/>
          </w:tcPr>
          <w:p>
            <w:r/>
            <w:r>
              <w:rPr>
                <w:rFonts w:ascii="Calibri" w:hAnsi="Calibri"/>
                <w:sz w:val="20"/>
              </w:rPr>
              <w:t>1.0</w:t>
            </w:r>
          </w:p>
        </w:tc>
      </w:tr>
      <w:tr>
        <w:tc>
          <w:tcPr>
            <w:tcW w:type="dxa" w:w="4320"/>
          </w:tcPr>
          <w:p>
            <w:r/>
            <w:r>
              <w:rPr>
                <w:rFonts w:ascii="Calibri" w:hAnsi="Calibri"/>
                <w:sz w:val="20"/>
              </w:rPr>
              <w:t>Effective Date:</w:t>
            </w:r>
          </w:p>
        </w:tc>
        <w:tc>
          <w:tcPr>
            <w:tcW w:type="dxa" w:w="4320"/>
          </w:tcPr>
          <w:p>
            <w:r/>
            <w:r>
              <w:rPr>
                <w:rFonts w:ascii="Calibri" w:hAnsi="Calibri"/>
                <w:sz w:val="20"/>
              </w:rPr>
              <w:t>[EFFECTIVE DATE]</w:t>
            </w:r>
          </w:p>
        </w:tc>
      </w:tr>
      <w:tr>
        <w:tc>
          <w:tcPr>
            <w:tcW w:type="dxa" w:w="4320"/>
          </w:tcPr>
          <w:p>
            <w:r/>
            <w:r>
              <w:rPr>
                <w:rFonts w:ascii="Calibri" w:hAnsi="Calibri"/>
                <w:sz w:val="20"/>
              </w:rPr>
              <w:t>Review Date:</w:t>
            </w:r>
          </w:p>
        </w:tc>
        <w:tc>
          <w:tcPr>
            <w:tcW w:type="dxa" w:w="4320"/>
          </w:tcPr>
          <w:p>
            <w:r/>
            <w:r>
              <w:rPr>
                <w:rFonts w:ascii="Calibri" w:hAnsi="Calibri"/>
                <w:sz w:val="20"/>
              </w:rPr>
              <w:t>[REVIEW DATE]</w:t>
            </w:r>
          </w:p>
        </w:tc>
      </w:tr>
      <w:tr>
        <w:tc>
          <w:tcPr>
            <w:tcW w:type="dxa" w:w="4320"/>
          </w:tcPr>
          <w:p>
            <w:r/>
            <w:r>
              <w:rPr>
                <w:rFonts w:ascii="Calibri" w:hAnsi="Calibri"/>
                <w:sz w:val="20"/>
              </w:rPr>
              <w:t>Owner:</w:t>
            </w:r>
          </w:p>
        </w:tc>
        <w:tc>
          <w:tcPr>
            <w:tcW w:type="dxa" w:w="4320"/>
          </w:tcPr>
          <w:p>
            <w:r/>
            <w:r>
              <w:rPr>
                <w:rFonts w:ascii="Calibri" w:hAnsi="Calibri"/>
                <w:sz w:val="20"/>
              </w:rPr>
              <w:t>Human Resources</w:t>
            </w:r>
          </w:p>
        </w:tc>
      </w:tr>
    </w:tbl>
    <w:p>
      <w:pPr>
        <w:pStyle w:val="Heading2"/>
      </w:pPr>
      <w:r>
        <w:t>1. Purpose</w:t>
      </w:r>
    </w:p>
    <w:p>
      <w:r>
        <w:t>This policy outlines the minimum conditions of employment as prescribed by the Basic Conditions of Employment Act 75 of 1997 (BCEA), as amended. [COMPANY NAME] commits to meeting or exceeding the statutory minimum standards set out in the BCEA for all employees within its South African operations. This policy applies alongside the employee's contract of employment, applicable Sectoral Determinations, and any Bargaining Council agreements.</w:t>
      </w:r>
    </w:p>
    <w:p>
      <w:pPr>
        <w:pStyle w:val="Heading2"/>
      </w:pPr>
      <w:r>
        <w:t>2. Scope</w:t>
      </w:r>
    </w:p>
    <w:p>
      <w:r>
        <w:t>This policy applies to all employees of [COMPANY NAME] employed in the Republic of South Africa, except where specific sections of the BCEA do not apply to senior managerial employees or employees earning above the BCEA earnings threshold (as gazetted by the Minister of Employment and Labour from time to time).</w:t>
      </w:r>
    </w:p>
    <w:p>
      <w:pPr>
        <w:pStyle w:val="Heading3"/>
      </w:pPr>
      <w:r>
        <w:t>2.1 BCEA Earnings Threshold</w:t>
      </w:r>
    </w:p>
    <w:p>
      <w:r>
        <w:t>Employees earning above the BCEA earnings threshold (currently R254,371.67 per annum, as updated periodically by Government Gazette) are excluded from certain provisions of the BCEA, including those relating to ordinary hours of work, overtime, rest periods, and meal intervals. These employees remain covered by provisions relating to leave, particulars of employment, and termination of employment.</w:t>
      </w:r>
    </w:p>
    <w:p>
      <w:pPr>
        <w:pStyle w:val="Heading2"/>
      </w:pPr>
      <w:r>
        <w:t>3. Ordinary Hours of Work</w:t>
      </w:r>
    </w:p>
    <w:p>
      <w:r>
        <w:t>The BCEA prescribes the following maximum ordinary working hours: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80"/>
        <w:gridCol w:w="2880"/>
        <w:gridCol w:w="2880"/>
      </w:tblGrid>
      <w:tr>
        <w:tc>
          <w:tcPr>
            <w:tcW w:type="dxa" w:w="2880"/>
            <w:shd w:fill="1A3A5C"/>
          </w:tcPr>
          <w:p>
            <w:r>
              <w:rPr>
                <w:rFonts w:ascii="Calibri" w:hAnsi="Calibri"/>
                <w:b/>
                <w:color w:val="FFFFFF"/>
                <w:sz w:val="20"/>
              </w:rPr>
              <w:t>Work Schedule</w:t>
            </w:r>
          </w:p>
        </w:tc>
        <w:tc>
          <w:tcPr>
            <w:tcW w:type="dxa" w:w="2880"/>
            <w:shd w:fill="1A3A5C"/>
          </w:tcPr>
          <w:p>
            <w:r>
              <w:rPr>
                <w:rFonts w:ascii="Calibri" w:hAnsi="Calibri"/>
                <w:b/>
                <w:color w:val="FFFFFF"/>
                <w:sz w:val="20"/>
              </w:rPr>
              <w:t>Maximum Daily Hours</w:t>
            </w:r>
          </w:p>
        </w:tc>
        <w:tc>
          <w:tcPr>
            <w:tcW w:type="dxa" w:w="2880"/>
            <w:shd w:fill="1A3A5C"/>
          </w:tcPr>
          <w:p>
            <w:r>
              <w:rPr>
                <w:rFonts w:ascii="Calibri" w:hAnsi="Calibri"/>
                <w:b/>
                <w:color w:val="FFFFFF"/>
                <w:sz w:val="20"/>
              </w:rPr>
              <w:t>Maximum Weekly Hours</w:t>
            </w:r>
          </w:p>
        </w:tc>
      </w:tr>
      <w:tr>
        <w:tc>
          <w:tcPr>
            <w:tcW w:type="dxa" w:w="2880"/>
          </w:tcPr>
          <w:p>
            <w:r/>
            <w:r>
              <w:rPr>
                <w:rFonts w:ascii="Calibri" w:hAnsi="Calibri"/>
                <w:sz w:val="20"/>
              </w:rPr>
              <w:t>5-day work week</w:t>
            </w:r>
          </w:p>
        </w:tc>
        <w:tc>
          <w:tcPr>
            <w:tcW w:type="dxa" w:w="2880"/>
          </w:tcPr>
          <w:p>
            <w:r/>
            <w:r>
              <w:rPr>
                <w:rFonts w:ascii="Calibri" w:hAnsi="Calibri"/>
                <w:sz w:val="20"/>
              </w:rPr>
              <w:t>9 hours per day</w:t>
            </w:r>
          </w:p>
        </w:tc>
        <w:tc>
          <w:tcPr>
            <w:tcW w:type="dxa" w:w="2880"/>
          </w:tcPr>
          <w:p>
            <w:r/>
            <w:r>
              <w:rPr>
                <w:rFonts w:ascii="Calibri" w:hAnsi="Calibri"/>
                <w:sz w:val="20"/>
              </w:rPr>
              <w:t>45 hours per week</w:t>
            </w:r>
          </w:p>
        </w:tc>
      </w:tr>
      <w:tr>
        <w:tc>
          <w:tcPr>
            <w:tcW w:type="dxa" w:w="2880"/>
          </w:tcPr>
          <w:p>
            <w:r/>
            <w:r>
              <w:rPr>
                <w:rFonts w:ascii="Calibri" w:hAnsi="Calibri"/>
                <w:sz w:val="20"/>
              </w:rPr>
              <w:t>6-day work week</w:t>
            </w:r>
          </w:p>
        </w:tc>
        <w:tc>
          <w:tcPr>
            <w:tcW w:type="dxa" w:w="2880"/>
          </w:tcPr>
          <w:p>
            <w:r/>
            <w:r>
              <w:rPr>
                <w:rFonts w:ascii="Calibri" w:hAnsi="Calibri"/>
                <w:sz w:val="20"/>
              </w:rPr>
              <w:t>8 hours per day</w:t>
            </w:r>
          </w:p>
        </w:tc>
        <w:tc>
          <w:tcPr>
            <w:tcW w:type="dxa" w:w="2880"/>
          </w:tcPr>
          <w:p>
            <w:r/>
            <w:r>
              <w:rPr>
                <w:rFonts w:ascii="Calibri" w:hAnsi="Calibri"/>
                <w:sz w:val="20"/>
              </w:rPr>
              <w:t>45 hours per week</w:t>
            </w:r>
          </w:p>
        </w:tc>
      </w:tr>
    </w:tbl>
    <w:p/>
    <w:p>
      <w:r>
        <w:t>Employees may not be required or permitted to work more than 45 ordinary hours per week or more than the daily maximum without a written agreement to work overtime.</w:t>
      </w:r>
    </w:p>
    <w:p>
      <w:pPr>
        <w:pStyle w:val="Heading3"/>
      </w:pPr>
      <w:r>
        <w:t>3.1 Meal Intervals</w:t>
      </w:r>
    </w:p>
    <w:p>
      <w:r>
        <w:t>An employee is entitled to a meal interval of at least one continuous hour after five hours of work. An agreement may reduce the meal interval to 30 minutes. The meal interval is unpaid unless the employee is required to remain available for work or to perform duties during the interval.</w:t>
      </w:r>
    </w:p>
    <w:p>
      <w:pPr>
        <w:pStyle w:val="Heading3"/>
      </w:pPr>
      <w:r>
        <w:t>3.2 Rest Periods</w:t>
      </w:r>
    </w:p>
    <w:p>
      <w:r>
        <w:t>An employee is entitled to a daily rest period of at least 12 consecutive hours between ending work on one day and commencing work on the next day, and a weekly rest period of at least 36 consecutive hours, which must include a Sunday unless otherwise agreed.</w:t>
      </w:r>
    </w:p>
    <w:p>
      <w:pPr>
        <w:pStyle w:val="Heading2"/>
      </w:pPr>
      <w:r>
        <w:t>4. Overtime</w:t>
      </w:r>
    </w:p>
    <w:p>
      <w:r>
        <w:t>Overtime may only be worked by agreement between the employer and the employee. The BCEA prescribes the following conditions for overtime:</w:t>
      </w:r>
    </w:p>
    <w:p>
      <w:pPr>
        <w:pStyle w:val="ListBullet"/>
      </w:pPr>
      <w:r>
        <w:t>Maximum overtime: 10 hours per week (or as extended by a collective agreement, not exceeding 15 hours per week);</w:t>
      </w:r>
    </w:p>
    <w:p>
      <w:pPr>
        <w:pStyle w:val="ListBullet"/>
      </w:pPr>
      <w:r>
        <w:t>An employee may not work more than 12 hours in any day (including ordinary hours and overtime);</w:t>
      </w:r>
    </w:p>
    <w:p>
      <w:pPr>
        <w:pStyle w:val="ListBullet"/>
      </w:pPr>
      <w:r>
        <w:t>Overtime compensation: 1.5 times the employee's normal hourly wage rate;</w:t>
      </w:r>
    </w:p>
    <w:p>
      <w:pPr>
        <w:pStyle w:val="ListBullet"/>
      </w:pPr>
      <w:r>
        <w:t>Work on a Sunday (for employees who do not ordinarily work on a Sunday): 2 times the employee's normal hourly wage rate;</w:t>
      </w:r>
    </w:p>
    <w:p>
      <w:pPr>
        <w:pStyle w:val="ListBullet"/>
      </w:pPr>
      <w:r>
        <w:t>Work on a public holiday: 2 times the employee's normal hourly wage rate;</w:t>
      </w:r>
    </w:p>
    <w:p>
      <w:pPr>
        <w:pStyle w:val="ListBullet"/>
      </w:pPr>
      <w:r>
        <w:t>By agreement, overtime may be compensated by paid time off equivalent to the overtime worked, granted within one month of the overtime being performed.</w:t>
      </w:r>
    </w:p>
    <w:p>
      <w:pPr>
        <w:pStyle w:val="Heading2"/>
      </w:pPr>
      <w:r>
        <w:t>5. Annual Leave</w:t>
      </w:r>
    </w:p>
    <w:p>
      <w:r>
        <w:t>Every employee is entitled to annual leave as follows:</w:t>
      </w:r>
    </w:p>
    <w:p>
      <w:pPr>
        <w:pStyle w:val="ListBullet"/>
      </w:pPr>
      <w:r>
        <w:t>21 consecutive calendar days of annual leave per annual leave cycle (equivalent to 15 working days for a 5-day work week);</w:t>
      </w:r>
    </w:p>
    <w:p>
      <w:pPr>
        <w:pStyle w:val="ListBullet"/>
      </w:pPr>
      <w:r>
        <w:t>The annual leave cycle is 12 months of employment from the date of commencement or the completion of the previous leave cycle;</w:t>
      </w:r>
    </w:p>
    <w:p>
      <w:pPr>
        <w:pStyle w:val="ListBullet"/>
      </w:pPr>
      <w:r>
        <w:t>Annual leave must be granted by the employer within 6 months after the end of the annual leave cycle in which it accrued;</w:t>
      </w:r>
    </w:p>
    <w:p>
      <w:pPr>
        <w:pStyle w:val="ListBullet"/>
      </w:pPr>
      <w:r>
        <w:t>Annual leave may not be replaced by payment in lieu, except on termination of employment;</w:t>
      </w:r>
    </w:p>
    <w:p>
      <w:pPr>
        <w:pStyle w:val="ListBullet"/>
      </w:pPr>
      <w:r>
        <w:t>An employee is entitled to be paid the employee's normal remuneration for the period of annual leave before the commencement of the leave.</w:t>
      </w:r>
    </w:p>
    <w:p>
      <w:pPr>
        <w:pStyle w:val="Heading2"/>
      </w:pPr>
      <w:r>
        <w:t>6. Sick Leave</w:t>
      </w:r>
    </w:p>
    <w:p>
      <w:r>
        <w:t>Sick leave is provided in a 36-month cycle commencing on the first day of employment:</w:t>
      </w:r>
    </w:p>
    <w:p>
      <w:pPr>
        <w:pStyle w:val="ListBullet"/>
      </w:pPr>
      <w:r>
        <w:t>An employee is entitled to an amount of paid sick leave equal to the number of days the employee would normally work during a period of six weeks (e.g., 30 days for a 5-day week worker, 36 days for a 6-day week worker) in each 36-month cycle;</w:t>
      </w:r>
    </w:p>
    <w:p>
      <w:pPr>
        <w:pStyle w:val="ListBullet"/>
      </w:pPr>
      <w:r>
        <w:t>During the first six months of employment, an employee is entitled to one day of paid sick leave for every 26 days worked;</w:t>
      </w:r>
    </w:p>
    <w:p>
      <w:pPr>
        <w:pStyle w:val="ListBullet"/>
      </w:pPr>
      <w:r>
        <w:t>A medical certificate is required if the employee is absent for more than two consecutive days, or on more than two occasions during an eight-week period;</w:t>
      </w:r>
    </w:p>
    <w:p>
      <w:pPr>
        <w:pStyle w:val="ListBullet"/>
      </w:pPr>
      <w:r>
        <w:t>The medical certificate must be issued by a medical practitioner, traditional health practitioner (registered under the Traditional Health Practitioners Act 22 of 2007), or any other person certified to diagnose and treat patients under the laws of the country.</w:t>
      </w:r>
    </w:p>
    <w:p>
      <w:pPr>
        <w:pStyle w:val="Heading2"/>
      </w:pPr>
      <w:r>
        <w:t>7. Family Responsibility Leave</w:t>
      </w:r>
    </w:p>
    <w:p>
      <w:r>
        <w:t>An employee who has worked for at least four months and who works at least four days per week is entitled to three days of paid family responsibility leave per annual leave cycle. This leave may be taken:</w:t>
      </w:r>
    </w:p>
    <w:p>
      <w:pPr>
        <w:pStyle w:val="ListBullet"/>
      </w:pPr>
      <w:r>
        <w:t>When the employee's child is born;</w:t>
      </w:r>
    </w:p>
    <w:p>
      <w:pPr>
        <w:pStyle w:val="ListBullet"/>
      </w:pPr>
      <w:r>
        <w:t>When the employee's child is sick;</w:t>
      </w:r>
    </w:p>
    <w:p>
      <w:pPr>
        <w:pStyle w:val="ListBullet"/>
      </w:pPr>
      <w:r>
        <w:t>In the event of the death of the employee's spouse or life partner, parent, adoptive parent, grandparent, child, adopted child, grandchild, or sibling.</w:t>
      </w:r>
    </w:p>
    <w:p>
      <w:r>
        <w:t>The employer may require reasonable proof of the event (e.g., birth certificate, medical certificate, death certificate).</w:t>
      </w:r>
    </w:p>
    <w:p>
      <w:pPr>
        <w:pStyle w:val="Heading2"/>
      </w:pPr>
      <w:r>
        <w:t>8. Maternity Leave</w:t>
      </w:r>
    </w:p>
    <w:p>
      <w:r>
        <w:t>A pregnant employee is entitled to at least four consecutive months of maternity leave. The following conditions apply:</w:t>
      </w:r>
    </w:p>
    <w:p>
      <w:pPr>
        <w:pStyle w:val="ListBullet"/>
      </w:pPr>
      <w:r>
        <w:t>An employee may commence maternity leave at any time from four weeks before the expected date of birth, or earlier if a medical practitioner or midwife certifies it is necessary;</w:t>
      </w:r>
    </w:p>
    <w:p>
      <w:pPr>
        <w:pStyle w:val="ListBullet"/>
      </w:pPr>
      <w:r>
        <w:t>An employee may not work for six weeks after the birth of her child unless a medical practitioner or midwife certifies that she is fit to do so;</w:t>
      </w:r>
    </w:p>
    <w:p>
      <w:pPr>
        <w:pStyle w:val="ListBullet"/>
      </w:pPr>
      <w:r>
        <w:t>Maternity leave is unpaid under the BCEA. However, employees who have contributed to the Unemployment Insurance Fund (UIF) may claim maternity benefits from the UIF;</w:t>
      </w:r>
    </w:p>
    <w:p>
      <w:pPr>
        <w:pStyle w:val="ListBullet"/>
      </w:pPr>
      <w:r>
        <w:t>The employer may not require or permit a pregnant employee to perform work that is hazardous to her health or the health of her child;</w:t>
      </w:r>
    </w:p>
    <w:p>
      <w:pPr>
        <w:pStyle w:val="ListBullet"/>
      </w:pPr>
      <w:r>
        <w:t>No employee may be dismissed for reasons related to her pregnancy, and any such dismissal is automatically unfair under the Labour Relations Act 66 of 1995.</w:t>
      </w:r>
    </w:p>
    <w:p>
      <w:pPr>
        <w:pStyle w:val="Heading2"/>
      </w:pPr>
      <w:r>
        <w:t>9. Parental Leave</w:t>
      </w:r>
    </w:p>
    <w:p>
      <w:r>
        <w:t>In terms of the Labour Laws Amendment Act 10 of 2018, which amended the BCEA:</w:t>
      </w:r>
    </w:p>
    <w:p>
      <w:pPr>
        <w:pStyle w:val="ListBullet"/>
      </w:pPr>
      <w:r>
        <w:t>An employee who is a parent of a child born on or after 1 January 2020 is entitled to at least 10 consecutive days of parental leave;</w:t>
      </w:r>
    </w:p>
    <w:p>
      <w:pPr>
        <w:pStyle w:val="ListBullet"/>
      </w:pPr>
      <w:r>
        <w:t>Parental leave commences on the day the child is born or the date of the adoption order;</w:t>
      </w:r>
    </w:p>
    <w:p>
      <w:pPr>
        <w:pStyle w:val="ListBullet"/>
      </w:pPr>
      <w:r>
        <w:t>Parental leave is unpaid under the BCEA but qualifying employees may claim from the UIF;</w:t>
      </w:r>
    </w:p>
    <w:p>
      <w:pPr>
        <w:pStyle w:val="ListBullet"/>
      </w:pPr>
      <w:r>
        <w:t>The 2025 expansion (Labour Laws Amendment Act): Shared parental leave allows parents to share up to four months of UIF-funded parental leave between them, improving flexibility and promoting gender equality in caregiving;</w:t>
      </w:r>
    </w:p>
    <w:p>
      <w:pPr>
        <w:pStyle w:val="ListBullet"/>
      </w:pPr>
      <w:r>
        <w:t>The employee must provide written notice to the employer at least one month before the expected date of commencement of parental leave.</w:t>
      </w:r>
    </w:p>
    <w:p>
      <w:pPr>
        <w:pStyle w:val="Heading2"/>
      </w:pPr>
      <w:r>
        <w:t>10. Notice Periods</w:t>
      </w:r>
    </w:p>
    <w:p>
      <w:r>
        <w:t>Either party may terminate the contract of employment by giving written notice as follows: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320"/>
        <w:gridCol w:w="4320"/>
      </w:tblGrid>
      <w:tr>
        <w:tc>
          <w:tcPr>
            <w:tcW w:type="dxa" w:w="4320"/>
            <w:shd w:fill="1A3A5C"/>
          </w:tcPr>
          <w:p>
            <w:r>
              <w:rPr>
                <w:rFonts w:ascii="Calibri" w:hAnsi="Calibri"/>
                <w:b/>
                <w:color w:val="FFFFFF"/>
                <w:sz w:val="20"/>
              </w:rPr>
              <w:t>Period of Employment</w:t>
            </w:r>
          </w:p>
        </w:tc>
        <w:tc>
          <w:tcPr>
            <w:tcW w:type="dxa" w:w="4320"/>
            <w:shd w:fill="1A3A5C"/>
          </w:tcPr>
          <w:p>
            <w:r>
              <w:rPr>
                <w:rFonts w:ascii="Calibri" w:hAnsi="Calibri"/>
                <w:b/>
                <w:color w:val="FFFFFF"/>
                <w:sz w:val="20"/>
              </w:rPr>
              <w:t>Minimum Notice Period</w:t>
            </w:r>
          </w:p>
        </w:tc>
      </w:tr>
      <w:tr>
        <w:tc>
          <w:tcPr>
            <w:tcW w:type="dxa" w:w="4320"/>
          </w:tcPr>
          <w:p>
            <w:r/>
            <w:r>
              <w:rPr>
                <w:rFonts w:ascii="Calibri" w:hAnsi="Calibri"/>
                <w:sz w:val="20"/>
              </w:rPr>
              <w:t>Less than 6 months</w:t>
            </w:r>
          </w:p>
        </w:tc>
        <w:tc>
          <w:tcPr>
            <w:tcW w:type="dxa" w:w="4320"/>
          </w:tcPr>
          <w:p>
            <w:r/>
            <w:r>
              <w:rPr>
                <w:rFonts w:ascii="Calibri" w:hAnsi="Calibri"/>
                <w:sz w:val="20"/>
              </w:rPr>
              <w:t>1 week</w:t>
            </w:r>
          </w:p>
        </w:tc>
      </w:tr>
      <w:tr>
        <w:tc>
          <w:tcPr>
            <w:tcW w:type="dxa" w:w="4320"/>
          </w:tcPr>
          <w:p>
            <w:r/>
            <w:r>
              <w:rPr>
                <w:rFonts w:ascii="Calibri" w:hAnsi="Calibri"/>
                <w:sz w:val="20"/>
              </w:rPr>
              <w:t>6 months to less than 1 year</w:t>
            </w:r>
          </w:p>
        </w:tc>
        <w:tc>
          <w:tcPr>
            <w:tcW w:type="dxa" w:w="4320"/>
          </w:tcPr>
          <w:p>
            <w:r/>
            <w:r>
              <w:rPr>
                <w:rFonts w:ascii="Calibri" w:hAnsi="Calibri"/>
                <w:sz w:val="20"/>
              </w:rPr>
              <w:t>2 weeks</w:t>
            </w:r>
          </w:p>
        </w:tc>
      </w:tr>
      <w:tr>
        <w:tc>
          <w:tcPr>
            <w:tcW w:type="dxa" w:w="4320"/>
          </w:tcPr>
          <w:p>
            <w:r/>
            <w:r>
              <w:rPr>
                <w:rFonts w:ascii="Calibri" w:hAnsi="Calibri"/>
                <w:sz w:val="20"/>
              </w:rPr>
              <w:t>1 year or more</w:t>
            </w:r>
          </w:p>
        </w:tc>
        <w:tc>
          <w:tcPr>
            <w:tcW w:type="dxa" w:w="4320"/>
          </w:tcPr>
          <w:p>
            <w:r/>
            <w:r>
              <w:rPr>
                <w:rFonts w:ascii="Calibri" w:hAnsi="Calibri"/>
                <w:sz w:val="20"/>
              </w:rPr>
              <w:t>4 weeks</w:t>
            </w:r>
          </w:p>
        </w:tc>
      </w:tr>
    </w:tbl>
    <w:p/>
    <w:p>
      <w:r>
        <w:t>Notice must be in writing, except when given by an illiterate employee. The notice period may not run concurrently with any period of leave, except sick leave.</w:t>
      </w:r>
    </w:p>
    <w:p>
      <w:pPr>
        <w:pStyle w:val="Heading2"/>
      </w:pPr>
      <w:r>
        <w:t>11. Severance Pay</w:t>
      </w:r>
    </w:p>
    <w:p>
      <w:r>
        <w:t>An employee dismissed for reasons based on the employer's operational requirements (as defined in Section 189 of the Labour Relations Act) is entitled to severance pay of at least one week's remuneration for each completed year of continuous service with the employer. An employee who unreasonably refuses an offer of alternative employment by the employer or any other employer is not entitled to severance pay.</w:t>
      </w:r>
    </w:p>
    <w:p>
      <w:pPr>
        <w:pStyle w:val="Heading2"/>
      </w:pPr>
      <w:r>
        <w:t>12. Prohibited Conduct</w:t>
      </w:r>
    </w:p>
    <w:p>
      <w:r>
        <w:t>The following conduct is prohibited under the BCEA:</w:t>
      </w:r>
    </w:p>
    <w:p>
      <w:pPr>
        <w:pStyle w:val="ListBullet"/>
      </w:pPr>
      <w:r>
        <w:t>Employment of a child under the age of 15 years (Section 43);</w:t>
      </w:r>
    </w:p>
    <w:p>
      <w:pPr>
        <w:pStyle w:val="ListBullet"/>
      </w:pPr>
      <w:r>
        <w:t>Employment of a child in work that is inappropriate for the child's age or that places the child at risk (Section 44);</w:t>
      </w:r>
    </w:p>
    <w:p>
      <w:pPr>
        <w:pStyle w:val="ListBullet"/>
      </w:pPr>
      <w:r>
        <w:t>Forced labour (Section 48);</w:t>
      </w:r>
    </w:p>
    <w:p>
      <w:pPr>
        <w:pStyle w:val="ListBullet"/>
      </w:pPr>
      <w:r>
        <w:t>Requiring an employee to waive their rights under the BCEA (Section 4).</w:t>
      </w:r>
    </w:p>
    <w:p>
      <w:pPr>
        <w:pStyle w:val="Heading2"/>
      </w:pPr>
      <w:r>
        <w:t>13. Record-Keeping</w:t>
      </w:r>
    </w:p>
    <w:p>
      <w:r>
        <w:t>The employer must keep written records of the prescribed particulars of each employee for a period of three years after the termination of employment. Records must include:</w:t>
      </w:r>
    </w:p>
    <w:p>
      <w:pPr>
        <w:pStyle w:val="ListBullet"/>
      </w:pPr>
      <w:r>
        <w:t>Employee's name and occupation;</w:t>
      </w:r>
    </w:p>
    <w:p>
      <w:pPr>
        <w:pStyle w:val="ListBullet"/>
      </w:pPr>
      <w:r>
        <w:t>Time worked and remuneration paid;</w:t>
      </w:r>
    </w:p>
    <w:p>
      <w:pPr>
        <w:pStyle w:val="ListBullet"/>
      </w:pPr>
      <w:r>
        <w:t>Date of birth (if under 18);</w:t>
      </w:r>
    </w:p>
    <w:p>
      <w:pPr>
        <w:pStyle w:val="ListBullet"/>
      </w:pPr>
      <w:r>
        <w:t>Leave records;</w:t>
      </w:r>
    </w:p>
    <w:p>
      <w:pPr>
        <w:pStyle w:val="ListBullet"/>
      </w:pPr>
      <w:r>
        <w:t>Any other prescribed information.</w:t>
      </w:r>
    </w:p>
    <w:p>
      <w:pPr>
        <w:pStyle w:val="Heading2"/>
      </w:pPr>
      <w:r>
        <w:t>14. Policy Review</w:t>
      </w:r>
    </w:p>
    <w:p>
      <w:r>
        <w:t>This policy will be reviewed annually, or more frequently as required by amendments to the BCEA, Sectoral Determinations, or changes in the earnings threshold.</w:t>
      </w:r>
    </w:p>
    <w:p>
      <w:pPr>
        <w:pStyle w:val="Heading2"/>
      </w:pPr>
      <w:r>
        <w:t>Approval</w:t>
      </w:r>
    </w:p>
    <w:tbl>
      <w:tblPr>
        <w:tblW w:type="auto" w:w="0"/>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t>President / CEO</w:t>
            </w:r>
          </w:p>
        </w:tc>
        <w:tc>
          <w:tcPr>
            <w:tcW w:type="dxa" w:w="2880"/>
          </w:tcPr>
          <w:p>
            <w:r>
              <w:t>________________________</w:t>
            </w:r>
          </w:p>
        </w:tc>
        <w:tc>
          <w:tcPr>
            <w:tcW w:type="dxa" w:w="2880"/>
          </w:tcPr>
          <w:p>
            <w:r>
              <w:t>________________________</w:t>
            </w:r>
          </w:p>
        </w:tc>
      </w:tr>
      <w:tr>
        <w:tc>
          <w:tcPr>
            <w:tcW w:type="dxa" w:w="2880"/>
          </w:tcPr>
          <w:p>
            <w:r>
              <w:t>VP, Human Resources</w:t>
            </w:r>
          </w:p>
        </w:tc>
        <w:tc>
          <w:tcPr>
            <w:tcW w:type="dxa" w:w="2880"/>
          </w:tcPr>
          <w:p>
            <w:r>
              <w:t>________________________</w:t>
            </w:r>
          </w:p>
        </w:tc>
        <w:tc>
          <w:tcPr>
            <w:tcW w:type="dxa" w:w="2880"/>
          </w:tcPr>
          <w:p>
            <w:r>
              <w:t>________________________</w:t>
            </w:r>
          </w:p>
        </w:tc>
      </w:tr>
      <w:tr>
        <w:tc>
          <w:tcPr>
            <w:tcW w:type="dxa" w:w="2880"/>
          </w:tcPr>
          <w:p>
            <w:r>
              <w:t>Legal Counsel</w:t>
            </w:r>
          </w:p>
        </w:tc>
        <w:tc>
          <w:tcPr>
            <w:tcW w:type="dxa" w:w="2880"/>
          </w:tcPr>
          <w:p>
            <w:r>
              <w:t>________________________</w:t>
            </w:r>
          </w:p>
        </w:tc>
        <w:tc>
          <w:tcPr>
            <w:tcW w:type="dxa" w:w="2880"/>
          </w:tcPr>
          <w:p>
            <w:r>
              <w:t>________________________</w:t>
            </w:r>
          </w:p>
        </w:tc>
      </w:tr>
    </w:tbl>
    <w:p>
      <w:pPr>
        <w:pStyle w:val="Heading2"/>
      </w:pPr>
      <w:r>
        <w:t>Employee Acknowledgment</w:t>
      </w:r>
    </w:p>
    <w:p>
      <w:r>
        <w:t>I, ________________________ (print name), acknowledge that I have received, read, and understood this policy. I agree to comply with its terms and conditions as a condition of my employment with [COMPANY NAME].</w:t>
      </w:r>
    </w:p>
    <w:p/>
    <w:tbl>
      <w:tblPr>
        <w:tblW w:type="auto" w:w="0"/>
        <w:tblLook w:firstColumn="1" w:firstRow="1" w:lastColumn="0" w:lastRow="0" w:noHBand="0" w:noVBand="1" w:val="04A0"/>
      </w:tblPr>
      <w:tblGrid>
        <w:gridCol w:w="4320"/>
        <w:gridCol w:w="4320"/>
      </w:tblGrid>
      <w:tr>
        <w:tc>
          <w:tcPr>
            <w:tcW w:type="dxa" w:w="4320"/>
          </w:tcPr>
          <w:p>
            <w:r>
              <w:t>Employee Signature: ________________________</w:t>
            </w:r>
          </w:p>
        </w:tc>
        <w:tc>
          <w:tcPr>
            <w:tcW w:type="dxa" w:w="4320"/>
          </w:tcPr>
          <w:p>
            <w:r>
              <w:t>Date: ________________________</w:t>
            </w:r>
          </w:p>
        </w:tc>
      </w:tr>
      <w:tr>
        <w:tc>
          <w:tcPr>
            <w:tcW w:type="dxa" w:w="4320"/>
          </w:tcPr>
          <w:p>
            <w:r>
              <w:t>Employee Name (Print): ________________________</w:t>
            </w:r>
          </w:p>
        </w:tc>
        <w:tc>
          <w:tcPr>
            <w:tcW w:type="dxa" w:w="4320"/>
          </w:tcPr>
          <w:p>
            <w:r>
              <w:t>Employee ID: ________________________</w:t>
            </w:r>
          </w:p>
        </w:tc>
      </w:tr>
      <w:tr>
        <w:tc>
          <w:tcPr>
            <w:tcW w:type="dxa" w:w="4320"/>
          </w:tcPr>
          <w:p>
            <w:r>
              <w:t>Department: ________________________</w:t>
            </w:r>
          </w:p>
        </w:tc>
        <w:tc>
          <w:tcPr>
            <w:tcW w:type="dxa" w:w="4320"/>
          </w:tcPr>
          <w:p>
            <w:r>
              <w:t>Position: ________________________</w:t>
            </w:r>
          </w:p>
        </w:tc>
      </w:tr>
    </w:tbl>
    <w:p/>
    <w:p/>
    <w:p>
      <w:pPr>
        <w:jc w:val="center"/>
      </w:pPr>
      <w:r>
        <w:rPr>
          <w:i/>
          <w:color w:val="999999"/>
          <w:sz w:val="16"/>
        </w:rPr>
        <w:t>Prepared by [COMPANY NAME] | BCEA Policy -- South Africa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